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4E" w:rsidRDefault="000D1A4E" w:rsidP="000D1A4E">
      <w:pPr>
        <w:spacing w:after="0"/>
        <w:jc w:val="center"/>
        <w:rPr>
          <w:rFonts w:ascii="Times New Roman" w:hAnsi="Times New Roman" w:cs="Times New Roman"/>
          <w:b/>
          <w:bCs/>
          <w:sz w:val="24"/>
          <w:szCs w:val="24"/>
        </w:rPr>
      </w:pPr>
      <w:r w:rsidRPr="000D1A4E">
        <w:rPr>
          <w:rFonts w:ascii="Times New Roman" w:hAnsi="Times New Roman" w:cs="Times New Roman"/>
          <w:b/>
          <w:bCs/>
          <w:sz w:val="24"/>
          <w:szCs w:val="24"/>
        </w:rPr>
        <w:t xml:space="preserve">Check List for Initial/Renewal Inspection of Shore-Based Maintenance provider </w:t>
      </w:r>
    </w:p>
    <w:p w:rsidR="005C3A17" w:rsidRDefault="000D1A4E" w:rsidP="00592E69">
      <w:pPr>
        <w:jc w:val="center"/>
        <w:rPr>
          <w:rFonts w:ascii="Times New Roman" w:hAnsi="Times New Roman" w:cs="Times New Roman"/>
          <w:b/>
          <w:bCs/>
          <w:sz w:val="24"/>
          <w:szCs w:val="24"/>
        </w:rPr>
      </w:pPr>
      <w:r w:rsidRPr="000D1A4E">
        <w:rPr>
          <w:rFonts w:ascii="Times New Roman" w:hAnsi="Times New Roman" w:cs="Times New Roman"/>
          <w:b/>
          <w:bCs/>
          <w:sz w:val="24"/>
          <w:szCs w:val="24"/>
        </w:rPr>
        <w:t>(As per MSC.1/1039/Rev.1</w:t>
      </w:r>
      <w:r>
        <w:rPr>
          <w:rFonts w:ascii="Times New Roman" w:hAnsi="Times New Roman" w:cs="Times New Roman"/>
          <w:b/>
          <w:bCs/>
          <w:sz w:val="24"/>
          <w:szCs w:val="24"/>
        </w:rPr>
        <w:t>)</w:t>
      </w:r>
    </w:p>
    <w:p w:rsidR="00592E69" w:rsidRDefault="00592E69" w:rsidP="00592E69">
      <w:pPr>
        <w:jc w:val="center"/>
        <w:rPr>
          <w:rFonts w:ascii="Times New Roman" w:hAnsi="Times New Roman" w:cs="Times New Roman"/>
          <w:b/>
          <w:bCs/>
          <w:sz w:val="24"/>
          <w:szCs w:val="24"/>
        </w:rPr>
      </w:pPr>
    </w:p>
    <w:tbl>
      <w:tblPr>
        <w:tblStyle w:val="TableGrid"/>
        <w:tblpPr w:leftFromText="180" w:rightFromText="180" w:vertAnchor="text" w:horzAnchor="margin" w:tblpY="198"/>
        <w:tblW w:w="9828" w:type="dxa"/>
        <w:tblLook w:val="04A0" w:firstRow="1" w:lastRow="0" w:firstColumn="1" w:lastColumn="0" w:noHBand="0" w:noVBand="1"/>
      </w:tblPr>
      <w:tblGrid>
        <w:gridCol w:w="6427"/>
        <w:gridCol w:w="2251"/>
        <w:gridCol w:w="1150"/>
      </w:tblGrid>
      <w:tr w:rsidR="000B4D93" w:rsidTr="000B4D93">
        <w:trPr>
          <w:trHeight w:val="254"/>
        </w:trPr>
        <w:tc>
          <w:tcPr>
            <w:tcW w:w="6447" w:type="dxa"/>
          </w:tcPr>
          <w:p w:rsidR="000B4D93" w:rsidRDefault="000B4D93" w:rsidP="000B4D93">
            <w:pPr>
              <w:jc w:val="center"/>
              <w:rPr>
                <w:rFonts w:ascii="Times New Roman" w:hAnsi="Times New Roman" w:cs="Times New Roman"/>
                <w:b/>
                <w:bCs/>
                <w:sz w:val="24"/>
                <w:szCs w:val="24"/>
              </w:rPr>
            </w:pPr>
            <w:r>
              <w:rPr>
                <w:rFonts w:ascii="Times New Roman" w:hAnsi="Times New Roman" w:cs="Times New Roman"/>
                <w:b/>
                <w:bCs/>
                <w:sz w:val="24"/>
                <w:szCs w:val="24"/>
              </w:rPr>
              <w:t>Contents</w:t>
            </w:r>
          </w:p>
        </w:tc>
        <w:tc>
          <w:tcPr>
            <w:tcW w:w="2254" w:type="dxa"/>
          </w:tcPr>
          <w:p w:rsidR="000B4D93" w:rsidRDefault="000B4D93" w:rsidP="000B4D93">
            <w:pPr>
              <w:jc w:val="center"/>
              <w:rPr>
                <w:rFonts w:ascii="Times New Roman" w:hAnsi="Times New Roman" w:cs="Times New Roman"/>
                <w:b/>
                <w:bCs/>
                <w:sz w:val="24"/>
                <w:szCs w:val="24"/>
              </w:rPr>
            </w:pPr>
            <w:r>
              <w:rPr>
                <w:rFonts w:ascii="Times New Roman" w:hAnsi="Times New Roman" w:cs="Times New Roman"/>
                <w:b/>
                <w:bCs/>
                <w:sz w:val="24"/>
                <w:szCs w:val="24"/>
              </w:rPr>
              <w:t>Extent of compliance</w:t>
            </w:r>
          </w:p>
        </w:tc>
        <w:tc>
          <w:tcPr>
            <w:tcW w:w="1127" w:type="dxa"/>
          </w:tcPr>
          <w:p w:rsidR="000B4D93" w:rsidRDefault="000B4D93" w:rsidP="000B4D93">
            <w:pPr>
              <w:jc w:val="center"/>
              <w:rPr>
                <w:rFonts w:ascii="Times New Roman" w:hAnsi="Times New Roman" w:cs="Times New Roman"/>
                <w:b/>
                <w:bCs/>
                <w:sz w:val="24"/>
                <w:szCs w:val="24"/>
              </w:rPr>
            </w:pPr>
            <w:r>
              <w:rPr>
                <w:rFonts w:ascii="Times New Roman" w:hAnsi="Times New Roman" w:cs="Times New Roman"/>
                <w:b/>
                <w:bCs/>
                <w:sz w:val="24"/>
                <w:szCs w:val="24"/>
              </w:rPr>
              <w:t>Remarks</w:t>
            </w:r>
          </w:p>
        </w:tc>
      </w:tr>
    </w:tbl>
    <w:tbl>
      <w:tblPr>
        <w:tblStyle w:val="TableGrid"/>
        <w:tblW w:w="9828" w:type="dxa"/>
        <w:tblLook w:val="04A0" w:firstRow="1" w:lastRow="0" w:firstColumn="1" w:lastColumn="0" w:noHBand="0" w:noVBand="1"/>
      </w:tblPr>
      <w:tblGrid>
        <w:gridCol w:w="892"/>
        <w:gridCol w:w="141"/>
        <w:gridCol w:w="5435"/>
        <w:gridCol w:w="2217"/>
        <w:gridCol w:w="1143"/>
      </w:tblGrid>
      <w:tr w:rsidR="000B4D93" w:rsidTr="000B4D93">
        <w:tc>
          <w:tcPr>
            <w:tcW w:w="6468" w:type="dxa"/>
            <w:gridSpan w:val="3"/>
          </w:tcPr>
          <w:p w:rsidR="000B4D93" w:rsidRPr="000D1A4E" w:rsidRDefault="000B4D93" w:rsidP="000D1A4E">
            <w:pPr>
              <w:pStyle w:val="ListParagraph"/>
              <w:numPr>
                <w:ilvl w:val="0"/>
                <w:numId w:val="2"/>
              </w:numPr>
              <w:ind w:left="1080" w:hanging="720"/>
              <w:rPr>
                <w:rFonts w:ascii="Times New Roman" w:hAnsi="Times New Roman" w:cs="Times New Roman"/>
                <w:b/>
                <w:bCs/>
                <w:sz w:val="24"/>
                <w:szCs w:val="24"/>
              </w:rPr>
            </w:pPr>
            <w:r w:rsidRPr="000D1A4E">
              <w:rPr>
                <w:rFonts w:ascii="Times New Roman" w:hAnsi="Times New Roman" w:cs="Times New Roman"/>
                <w:b/>
                <w:bCs/>
                <w:sz w:val="24"/>
                <w:szCs w:val="24"/>
              </w:rPr>
              <w:t>Introduction</w:t>
            </w:r>
          </w:p>
        </w:tc>
        <w:tc>
          <w:tcPr>
            <w:tcW w:w="2217" w:type="dxa"/>
          </w:tcPr>
          <w:p w:rsidR="000B4D93" w:rsidRPr="000D1A4E" w:rsidRDefault="000B4D93" w:rsidP="000B4D93">
            <w:pPr>
              <w:pStyle w:val="ListParagraph"/>
              <w:ind w:left="1080"/>
              <w:rPr>
                <w:rFonts w:ascii="Times New Roman" w:hAnsi="Times New Roman" w:cs="Times New Roman"/>
                <w:b/>
                <w:bCs/>
                <w:sz w:val="24"/>
                <w:szCs w:val="24"/>
              </w:rPr>
            </w:pPr>
          </w:p>
        </w:tc>
        <w:tc>
          <w:tcPr>
            <w:tcW w:w="1143" w:type="dxa"/>
          </w:tcPr>
          <w:p w:rsidR="000B4D93" w:rsidRPr="000B4D93" w:rsidRDefault="000B4D93" w:rsidP="000B4D93">
            <w:pPr>
              <w:rPr>
                <w:rFonts w:ascii="Times New Roman" w:hAnsi="Times New Roman" w:cs="Times New Roman"/>
                <w:b/>
                <w:bCs/>
                <w:sz w:val="24"/>
                <w:szCs w:val="24"/>
              </w:rPr>
            </w:pPr>
          </w:p>
        </w:tc>
      </w:tr>
      <w:tr w:rsidR="000D1A4E" w:rsidTr="000B4D93">
        <w:tc>
          <w:tcPr>
            <w:tcW w:w="892" w:type="dxa"/>
            <w:vAlign w:val="center"/>
          </w:tcPr>
          <w:p w:rsidR="000D1A4E" w:rsidRPr="009B7A88" w:rsidRDefault="000D1A4E" w:rsidP="000D1A4E">
            <w:pPr>
              <w:jc w:val="center"/>
              <w:rPr>
                <w:rFonts w:ascii="Times New Roman" w:hAnsi="Times New Roman" w:cs="Times New Roman"/>
                <w:sz w:val="24"/>
                <w:szCs w:val="24"/>
              </w:rPr>
            </w:pPr>
            <w:r>
              <w:rPr>
                <w:rFonts w:ascii="Times New Roman" w:hAnsi="Times New Roman" w:cs="Times New Roman"/>
                <w:sz w:val="24"/>
                <w:szCs w:val="24"/>
              </w:rPr>
              <w:t>1.1</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purpose of these Guidelines is to establish standardized procedures and minimum levels of service for the testing and maintenance of emergency position-</w:t>
            </w:r>
            <w:r>
              <w:rPr>
                <w:rFonts w:ascii="Times New Roman" w:hAnsi="Times New Roman" w:cs="Times New Roman"/>
                <w:sz w:val="24"/>
                <w:szCs w:val="24"/>
              </w:rPr>
              <w:t>indicating radio beacons (EPIRBs</w:t>
            </w:r>
            <w:r w:rsidRPr="009B7A88">
              <w:rPr>
                <w:rFonts w:ascii="Times New Roman" w:hAnsi="Times New Roman" w:cs="Times New Roman"/>
                <w:sz w:val="24"/>
                <w:szCs w:val="24"/>
              </w:rPr>
              <w:t>) to ensure maximum reliability while minimizing the risk of false distress alerting.</w:t>
            </w:r>
          </w:p>
        </w:tc>
        <w:tc>
          <w:tcPr>
            <w:tcW w:w="2217" w:type="dxa"/>
          </w:tcPr>
          <w:p w:rsidR="000D1A4E" w:rsidRPr="009B7A88" w:rsidRDefault="000D1A4E" w:rsidP="000D1A4E">
            <w:pPr>
              <w:rPr>
                <w:rFonts w:ascii="Times New Roman" w:hAnsi="Times New Roman" w:cs="Times New Roman"/>
                <w:sz w:val="24"/>
                <w:szCs w:val="24"/>
              </w:rPr>
            </w:pPr>
          </w:p>
        </w:tc>
        <w:tc>
          <w:tcPr>
            <w:tcW w:w="1143" w:type="dxa"/>
          </w:tcPr>
          <w:p w:rsidR="000D1A4E" w:rsidRPr="009B7A88" w:rsidRDefault="000D1A4E" w:rsidP="000D1A4E">
            <w:pPr>
              <w:rPr>
                <w:rFonts w:ascii="Times New Roman" w:hAnsi="Times New Roman" w:cs="Times New Roman"/>
                <w:sz w:val="24"/>
                <w:szCs w:val="24"/>
              </w:rPr>
            </w:pPr>
          </w:p>
        </w:tc>
      </w:tr>
      <w:tr w:rsidR="000D1A4E" w:rsidTr="000B4D93">
        <w:tc>
          <w:tcPr>
            <w:tcW w:w="892" w:type="dxa"/>
            <w:tcBorders>
              <w:bottom w:val="single" w:sz="4" w:space="0" w:color="000000" w:themeColor="text1"/>
            </w:tcBorders>
            <w:vAlign w:val="center"/>
          </w:tcPr>
          <w:p w:rsidR="000D1A4E" w:rsidRPr="009B7A88" w:rsidRDefault="000D1A4E" w:rsidP="000D1A4E">
            <w:pPr>
              <w:jc w:val="center"/>
              <w:rPr>
                <w:rFonts w:ascii="Times New Roman" w:hAnsi="Times New Roman" w:cs="Times New Roman"/>
                <w:sz w:val="24"/>
                <w:szCs w:val="24"/>
              </w:rPr>
            </w:pPr>
            <w:r>
              <w:rPr>
                <w:rFonts w:ascii="Times New Roman" w:hAnsi="Times New Roman" w:cs="Times New Roman"/>
                <w:sz w:val="24"/>
                <w:szCs w:val="24"/>
              </w:rPr>
              <w:t>1.2</w:t>
            </w:r>
          </w:p>
        </w:tc>
        <w:tc>
          <w:tcPr>
            <w:tcW w:w="5576" w:type="dxa"/>
            <w:gridSpan w:val="2"/>
            <w:tcBorders>
              <w:bottom w:val="single" w:sz="4" w:space="0" w:color="000000" w:themeColor="text1"/>
            </w:tcBorders>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Gui</w:t>
            </w:r>
            <w:r w:rsidR="000B4D93">
              <w:rPr>
                <w:rFonts w:ascii="Times New Roman" w:hAnsi="Times New Roman" w:cs="Times New Roman"/>
                <w:sz w:val="24"/>
                <w:szCs w:val="24"/>
              </w:rPr>
              <w:t>delines are applicable to EPIRBs</w:t>
            </w:r>
            <w:r w:rsidRPr="009B7A88">
              <w:rPr>
                <w:rFonts w:ascii="Times New Roman" w:hAnsi="Times New Roman" w:cs="Times New Roman"/>
                <w:sz w:val="24"/>
                <w:szCs w:val="24"/>
              </w:rPr>
              <w:t xml:space="preserve"> approved to comply with the requirements of SOLAS</w:t>
            </w:r>
            <w:r>
              <w:rPr>
                <w:rFonts w:ascii="Times New Roman" w:hAnsi="Times New Roman" w:cs="Times New Roman"/>
                <w:sz w:val="24"/>
                <w:szCs w:val="24"/>
              </w:rPr>
              <w:t xml:space="preserve"> regulation IV/7.1. These EPIRBs</w:t>
            </w:r>
            <w:r w:rsidRPr="009B7A88">
              <w:rPr>
                <w:rFonts w:ascii="Times New Roman" w:hAnsi="Times New Roman" w:cs="Times New Roman"/>
                <w:sz w:val="24"/>
                <w:szCs w:val="24"/>
              </w:rPr>
              <w:t xml:space="preserve"> include 121.5 MHz transmitters, Global Navigation Satellite System (GNSS) receivers, and automatic identification system (AIS) locating signals.</w:t>
            </w:r>
          </w:p>
        </w:tc>
        <w:tc>
          <w:tcPr>
            <w:tcW w:w="2217" w:type="dxa"/>
            <w:tcBorders>
              <w:bottom w:val="single" w:sz="4" w:space="0" w:color="000000" w:themeColor="text1"/>
            </w:tcBorders>
          </w:tcPr>
          <w:p w:rsidR="000D1A4E" w:rsidRPr="009B7A88" w:rsidRDefault="000D1A4E" w:rsidP="000D1A4E">
            <w:pPr>
              <w:rPr>
                <w:rFonts w:ascii="Times New Roman" w:hAnsi="Times New Roman" w:cs="Times New Roman"/>
                <w:sz w:val="24"/>
                <w:szCs w:val="24"/>
              </w:rPr>
            </w:pPr>
          </w:p>
        </w:tc>
        <w:tc>
          <w:tcPr>
            <w:tcW w:w="1143" w:type="dxa"/>
            <w:tcBorders>
              <w:bottom w:val="single" w:sz="4" w:space="0" w:color="000000" w:themeColor="text1"/>
            </w:tcBorders>
          </w:tcPr>
          <w:p w:rsidR="000D1A4E" w:rsidRPr="009B7A88" w:rsidRDefault="000D1A4E" w:rsidP="000D1A4E">
            <w:pPr>
              <w:rPr>
                <w:rFonts w:ascii="Times New Roman" w:hAnsi="Times New Roman" w:cs="Times New Roman"/>
                <w:sz w:val="24"/>
                <w:szCs w:val="24"/>
              </w:rPr>
            </w:pPr>
          </w:p>
        </w:tc>
      </w:tr>
      <w:tr w:rsidR="000D1A4E" w:rsidTr="000B4D93">
        <w:tc>
          <w:tcPr>
            <w:tcW w:w="892" w:type="dxa"/>
            <w:tcBorders>
              <w:bottom w:val="nil"/>
            </w:tcBorders>
            <w:vAlign w:val="center"/>
          </w:tcPr>
          <w:p w:rsidR="000D1A4E" w:rsidRPr="009B7A88" w:rsidRDefault="000D1A4E" w:rsidP="000D1A4E">
            <w:pPr>
              <w:jc w:val="center"/>
              <w:rPr>
                <w:rFonts w:ascii="Times New Roman" w:hAnsi="Times New Roman" w:cs="Times New Roman"/>
                <w:sz w:val="24"/>
                <w:szCs w:val="24"/>
              </w:rPr>
            </w:pPr>
            <w:r>
              <w:rPr>
                <w:rFonts w:ascii="Times New Roman" w:hAnsi="Times New Roman" w:cs="Times New Roman"/>
                <w:sz w:val="24"/>
                <w:szCs w:val="24"/>
              </w:rPr>
              <w:t>1.3</w:t>
            </w:r>
          </w:p>
        </w:tc>
        <w:tc>
          <w:tcPr>
            <w:tcW w:w="5576" w:type="dxa"/>
            <w:gridSpan w:val="2"/>
            <w:tcBorders>
              <w:bottom w:val="nil"/>
            </w:tcBorders>
          </w:tcPr>
          <w:p w:rsidR="000D1A4E" w:rsidRPr="009B7A88" w:rsidRDefault="000D1A4E" w:rsidP="000B4D93">
            <w:pPr>
              <w:jc w:val="both"/>
              <w:rPr>
                <w:rFonts w:ascii="Times New Roman" w:hAnsi="Times New Roman" w:cs="Times New Roman"/>
                <w:sz w:val="24"/>
                <w:szCs w:val="24"/>
              </w:rPr>
            </w:pPr>
            <w:r w:rsidRPr="009B7A88">
              <w:rPr>
                <w:rFonts w:ascii="Times New Roman" w:hAnsi="Times New Roman" w:cs="Times New Roman"/>
                <w:sz w:val="24"/>
                <w:szCs w:val="24"/>
              </w:rPr>
              <w:t>The guidelines also apply to service exchange EPIRB</w:t>
            </w:r>
            <w:r w:rsidR="000B4D93">
              <w:rPr>
                <w:rFonts w:ascii="Times New Roman" w:hAnsi="Times New Roman" w:cs="Times New Roman"/>
                <w:sz w:val="24"/>
                <w:szCs w:val="24"/>
              </w:rPr>
              <w:t>s</w:t>
            </w:r>
            <w:r w:rsidRPr="009B7A88">
              <w:rPr>
                <w:rFonts w:ascii="Times New Roman" w:hAnsi="Times New Roman" w:cs="Times New Roman"/>
                <w:sz w:val="24"/>
                <w:szCs w:val="24"/>
              </w:rPr>
              <w:t xml:space="preserve"> which should be properly encoded to match the appropriate registration database.</w:t>
            </w:r>
          </w:p>
        </w:tc>
        <w:tc>
          <w:tcPr>
            <w:tcW w:w="2217" w:type="dxa"/>
            <w:tcBorders>
              <w:bottom w:val="nil"/>
            </w:tcBorders>
          </w:tcPr>
          <w:p w:rsidR="000D1A4E" w:rsidRPr="009B7A88" w:rsidRDefault="000D1A4E" w:rsidP="000D1A4E">
            <w:pPr>
              <w:rPr>
                <w:rFonts w:ascii="Times New Roman" w:hAnsi="Times New Roman" w:cs="Times New Roman"/>
                <w:sz w:val="24"/>
                <w:szCs w:val="24"/>
              </w:rPr>
            </w:pPr>
          </w:p>
        </w:tc>
        <w:tc>
          <w:tcPr>
            <w:tcW w:w="1143" w:type="dxa"/>
            <w:tcBorders>
              <w:bottom w:val="nil"/>
            </w:tcBorders>
          </w:tcPr>
          <w:p w:rsidR="000D1A4E" w:rsidRPr="009B7A88" w:rsidRDefault="000D1A4E" w:rsidP="000D1A4E">
            <w:pPr>
              <w:rPr>
                <w:rFonts w:ascii="Times New Roman" w:hAnsi="Times New Roman" w:cs="Times New Roman"/>
                <w:sz w:val="24"/>
                <w:szCs w:val="24"/>
              </w:rPr>
            </w:pPr>
          </w:p>
        </w:tc>
      </w:tr>
      <w:tr w:rsidR="000D1A4E" w:rsidTr="000B4D93">
        <w:tc>
          <w:tcPr>
            <w:tcW w:w="892" w:type="dxa"/>
            <w:tcBorders>
              <w:top w:val="nil"/>
            </w:tcBorders>
          </w:tcPr>
          <w:p w:rsidR="000D1A4E" w:rsidRDefault="000D1A4E" w:rsidP="000D1A4E">
            <w:pPr>
              <w:jc w:val="center"/>
              <w:rPr>
                <w:rFonts w:ascii="Times New Roman" w:hAnsi="Times New Roman" w:cs="Times New Roman"/>
                <w:b/>
                <w:bCs/>
                <w:sz w:val="24"/>
                <w:szCs w:val="24"/>
              </w:rPr>
            </w:pPr>
          </w:p>
        </w:tc>
        <w:tc>
          <w:tcPr>
            <w:tcW w:w="5576" w:type="dxa"/>
            <w:gridSpan w:val="2"/>
            <w:tcBorders>
              <w:top w:val="nil"/>
            </w:tcBorders>
          </w:tcPr>
          <w:p w:rsidR="000D1A4E" w:rsidRDefault="000D1A4E" w:rsidP="000D1A4E">
            <w:pPr>
              <w:jc w:val="center"/>
              <w:rPr>
                <w:rFonts w:ascii="Times New Roman" w:hAnsi="Times New Roman" w:cs="Times New Roman"/>
                <w:b/>
                <w:bCs/>
                <w:sz w:val="24"/>
                <w:szCs w:val="24"/>
              </w:rPr>
            </w:pPr>
          </w:p>
        </w:tc>
        <w:tc>
          <w:tcPr>
            <w:tcW w:w="2217" w:type="dxa"/>
            <w:tcBorders>
              <w:top w:val="nil"/>
            </w:tcBorders>
          </w:tcPr>
          <w:p w:rsidR="000D1A4E" w:rsidRDefault="000D1A4E" w:rsidP="000D1A4E">
            <w:pPr>
              <w:jc w:val="center"/>
              <w:rPr>
                <w:rFonts w:ascii="Times New Roman" w:hAnsi="Times New Roman" w:cs="Times New Roman"/>
                <w:b/>
                <w:bCs/>
                <w:sz w:val="24"/>
                <w:szCs w:val="24"/>
              </w:rPr>
            </w:pPr>
          </w:p>
        </w:tc>
        <w:tc>
          <w:tcPr>
            <w:tcW w:w="1143" w:type="dxa"/>
            <w:tcBorders>
              <w:top w:val="nil"/>
            </w:tcBorders>
          </w:tcPr>
          <w:p w:rsidR="000D1A4E" w:rsidRDefault="000D1A4E" w:rsidP="000D1A4E">
            <w:pPr>
              <w:jc w:val="center"/>
              <w:rPr>
                <w:rFonts w:ascii="Times New Roman" w:hAnsi="Times New Roman" w:cs="Times New Roman"/>
                <w:b/>
                <w:bCs/>
                <w:sz w:val="24"/>
                <w:szCs w:val="24"/>
              </w:rPr>
            </w:pPr>
          </w:p>
        </w:tc>
      </w:tr>
      <w:tr w:rsidR="000D1A4E" w:rsidTr="000C415B">
        <w:tc>
          <w:tcPr>
            <w:tcW w:w="9828" w:type="dxa"/>
            <w:gridSpan w:val="5"/>
          </w:tcPr>
          <w:p w:rsidR="000D1A4E" w:rsidRPr="000D1A4E" w:rsidRDefault="000D1A4E" w:rsidP="000D1A4E">
            <w:pPr>
              <w:pStyle w:val="ListParagraph"/>
              <w:numPr>
                <w:ilvl w:val="0"/>
                <w:numId w:val="2"/>
              </w:numPr>
              <w:ind w:left="1080" w:hanging="720"/>
              <w:rPr>
                <w:rFonts w:ascii="Times New Roman" w:hAnsi="Times New Roman" w:cs="Times New Roman"/>
                <w:b/>
                <w:bCs/>
                <w:sz w:val="24"/>
                <w:szCs w:val="24"/>
              </w:rPr>
            </w:pPr>
            <w:r w:rsidRPr="000D1A4E">
              <w:rPr>
                <w:rFonts w:ascii="Times New Roman" w:hAnsi="Times New Roman" w:cs="Times New Roman"/>
                <w:b/>
                <w:bCs/>
                <w:sz w:val="24"/>
                <w:szCs w:val="24"/>
              </w:rPr>
              <w:t>Shore-based maintenance (SBM) provider</w:t>
            </w:r>
          </w:p>
        </w:tc>
      </w:tr>
      <w:tr w:rsidR="000D1A4E" w:rsidTr="000B4D93">
        <w:tc>
          <w:tcPr>
            <w:tcW w:w="892" w:type="dxa"/>
            <w:vAlign w:val="center"/>
          </w:tcPr>
          <w:p w:rsidR="000D1A4E" w:rsidRPr="009B7A88" w:rsidRDefault="000D1A4E" w:rsidP="000D1A4E">
            <w:pPr>
              <w:jc w:val="center"/>
              <w:rPr>
                <w:rFonts w:ascii="Times New Roman" w:hAnsi="Times New Roman" w:cs="Times New Roman"/>
                <w:sz w:val="24"/>
                <w:szCs w:val="24"/>
              </w:rPr>
            </w:pPr>
            <w:r>
              <w:rPr>
                <w:rFonts w:ascii="Times New Roman" w:hAnsi="Times New Roman" w:cs="Times New Roman"/>
                <w:sz w:val="24"/>
                <w:szCs w:val="24"/>
              </w:rPr>
              <w:t>2.1</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SBM provider should have a quality control system audited by a competent authority in respect of its servicing operation.</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Pr="009B7A88" w:rsidRDefault="000D1A4E" w:rsidP="000D1A4E">
            <w:pPr>
              <w:jc w:val="center"/>
              <w:rPr>
                <w:rFonts w:ascii="Times New Roman" w:hAnsi="Times New Roman" w:cs="Times New Roman"/>
                <w:sz w:val="24"/>
                <w:szCs w:val="24"/>
              </w:rPr>
            </w:pPr>
            <w:r>
              <w:rPr>
                <w:rFonts w:ascii="Times New Roman" w:hAnsi="Times New Roman" w:cs="Times New Roman"/>
                <w:sz w:val="24"/>
                <w:szCs w:val="24"/>
              </w:rPr>
              <w:t>2.2</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SBM provider should have access to adequate calibrated test equipment and facilities to carry out the SBM in accordance with these guidelines.</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2.3</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SBM provider should have access to batteries and other spare parts to the original equipment specification.</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2.4</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SBM provider should have access to up-to-date technical manuals, service bulletins and the latest software versions as provided by the original equipment manufacturer.</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2.5</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The SBM provider should keep records of maintenance, available for inspection by the Administration as may be required.</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2.6</w:t>
            </w:r>
          </w:p>
        </w:tc>
        <w:tc>
          <w:tcPr>
            <w:tcW w:w="5576" w:type="dxa"/>
            <w:gridSpan w:val="2"/>
          </w:tcPr>
          <w:p w:rsidR="000D1A4E" w:rsidRPr="009B7A88" w:rsidRDefault="000D1A4E" w:rsidP="000D1A4E">
            <w:pPr>
              <w:jc w:val="both"/>
              <w:rPr>
                <w:rFonts w:ascii="Times New Roman" w:hAnsi="Times New Roman" w:cs="Times New Roman"/>
                <w:sz w:val="24"/>
                <w:szCs w:val="24"/>
              </w:rPr>
            </w:pPr>
            <w:r w:rsidRPr="009B7A88">
              <w:rPr>
                <w:rFonts w:ascii="Times New Roman" w:hAnsi="Times New Roman" w:cs="Times New Roman"/>
                <w:sz w:val="24"/>
                <w:szCs w:val="24"/>
              </w:rPr>
              <w:t xml:space="preserve">The SBM provider should ensure that all personnel responsible for supervising and for carrying out the maintenance procedures are adequately trained </w:t>
            </w:r>
            <w:r>
              <w:rPr>
                <w:rFonts w:ascii="Times New Roman" w:hAnsi="Times New Roman" w:cs="Times New Roman"/>
                <w:sz w:val="24"/>
                <w:szCs w:val="24"/>
              </w:rPr>
              <w:t xml:space="preserve">by the manufacturer or its authorized agent, </w:t>
            </w:r>
            <w:r w:rsidRPr="009B7A88">
              <w:rPr>
                <w:rFonts w:ascii="Times New Roman" w:hAnsi="Times New Roman" w:cs="Times New Roman"/>
                <w:sz w:val="24"/>
                <w:szCs w:val="24"/>
              </w:rPr>
              <w:t>and fully competent to perform their duties: and</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2.7</w:t>
            </w:r>
          </w:p>
        </w:tc>
        <w:tc>
          <w:tcPr>
            <w:tcW w:w="5576" w:type="dxa"/>
            <w:gridSpan w:val="2"/>
          </w:tcPr>
          <w:p w:rsidR="000D1A4E" w:rsidRPr="009B7A88" w:rsidRDefault="000D1A4E" w:rsidP="000D1A4E">
            <w:pPr>
              <w:jc w:val="both"/>
              <w:rPr>
                <w:rFonts w:ascii="Times New Roman" w:hAnsi="Times New Roman" w:cs="Times New Roman"/>
                <w:sz w:val="24"/>
                <w:szCs w:val="24"/>
              </w:rPr>
            </w:pPr>
            <w:r w:rsidRPr="005B6FDF">
              <w:rPr>
                <w:rFonts w:ascii="Times New Roman" w:hAnsi="Times New Roman" w:cs="Times New Roman"/>
                <w:sz w:val="24"/>
                <w:szCs w:val="24"/>
              </w:rPr>
              <w:t>The SBM provider should issue a shore-based maintenance report with a list of the test results and maintenance performed.</w:t>
            </w:r>
          </w:p>
        </w:tc>
        <w:tc>
          <w:tcPr>
            <w:tcW w:w="2217" w:type="dxa"/>
          </w:tcPr>
          <w:p w:rsidR="000D1A4E" w:rsidRDefault="000D1A4E" w:rsidP="000D1A4E">
            <w:pPr>
              <w:jc w:val="center"/>
              <w:rPr>
                <w:rFonts w:ascii="Times New Roman" w:hAnsi="Times New Roman" w:cs="Times New Roman"/>
                <w:b/>
                <w:bCs/>
                <w:sz w:val="24"/>
                <w:szCs w:val="24"/>
              </w:rPr>
            </w:pPr>
            <w:bookmarkStart w:id="0" w:name="_GoBack"/>
            <w:bookmarkEnd w:id="0"/>
          </w:p>
        </w:tc>
        <w:tc>
          <w:tcPr>
            <w:tcW w:w="1143" w:type="dxa"/>
          </w:tcPr>
          <w:p w:rsidR="000D1A4E" w:rsidRDefault="000D1A4E" w:rsidP="000D1A4E">
            <w:pPr>
              <w:jc w:val="center"/>
              <w:rPr>
                <w:rFonts w:ascii="Times New Roman" w:hAnsi="Times New Roman" w:cs="Times New Roman"/>
                <w:b/>
                <w:bCs/>
                <w:sz w:val="24"/>
                <w:szCs w:val="24"/>
              </w:rPr>
            </w:pPr>
          </w:p>
        </w:tc>
      </w:tr>
      <w:tr w:rsidR="000D1A4E" w:rsidTr="0047704C">
        <w:tc>
          <w:tcPr>
            <w:tcW w:w="9828" w:type="dxa"/>
            <w:gridSpan w:val="5"/>
            <w:vAlign w:val="center"/>
          </w:tcPr>
          <w:p w:rsidR="000D1A4E" w:rsidRPr="000D1A4E" w:rsidRDefault="000D1A4E" w:rsidP="000D1A4E">
            <w:pPr>
              <w:pStyle w:val="ListParagraph"/>
              <w:numPr>
                <w:ilvl w:val="0"/>
                <w:numId w:val="2"/>
              </w:numPr>
              <w:ind w:left="1080" w:hanging="720"/>
              <w:rPr>
                <w:rFonts w:ascii="Times New Roman" w:hAnsi="Times New Roman" w:cs="Times New Roman"/>
                <w:b/>
                <w:bCs/>
                <w:sz w:val="24"/>
                <w:szCs w:val="24"/>
              </w:rPr>
            </w:pPr>
            <w:r w:rsidRPr="000D1A4E">
              <w:rPr>
                <w:rFonts w:ascii="Times New Roman" w:hAnsi="Times New Roman" w:cs="Times New Roman"/>
                <w:b/>
                <w:bCs/>
                <w:sz w:val="24"/>
                <w:szCs w:val="24"/>
              </w:rPr>
              <w:lastRenderedPageBreak/>
              <w:t>Prevention of false distress alerts</w:t>
            </w: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3.1</w:t>
            </w:r>
          </w:p>
        </w:tc>
        <w:tc>
          <w:tcPr>
            <w:tcW w:w="5576" w:type="dxa"/>
            <w:gridSpan w:val="2"/>
          </w:tcPr>
          <w:p w:rsidR="000D1A4E" w:rsidRPr="009B7A88" w:rsidRDefault="000D1A4E" w:rsidP="000D1A4E">
            <w:pPr>
              <w:jc w:val="both"/>
              <w:rPr>
                <w:rFonts w:ascii="Times New Roman" w:hAnsi="Times New Roman" w:cs="Times New Roman"/>
                <w:sz w:val="24"/>
                <w:szCs w:val="24"/>
              </w:rPr>
            </w:pPr>
            <w:r w:rsidRPr="005B6FDF">
              <w:rPr>
                <w:rFonts w:ascii="Times New Roman" w:hAnsi="Times New Roman" w:cs="Times New Roman"/>
                <w:sz w:val="24"/>
                <w:szCs w:val="24"/>
              </w:rPr>
              <w:t xml:space="preserve">Throughout the testing and maintenance process, great care must be taken to avoid the transmission of false distress alerts. The transmissions may be </w:t>
            </w:r>
            <w:r>
              <w:rPr>
                <w:rFonts w:ascii="Times New Roman" w:hAnsi="Times New Roman" w:cs="Times New Roman"/>
                <w:sz w:val="24"/>
                <w:szCs w:val="24"/>
              </w:rPr>
              <w:t xml:space="preserve">detected </w:t>
            </w:r>
            <w:r w:rsidRPr="005B6FDF">
              <w:rPr>
                <w:rFonts w:ascii="Times New Roman" w:hAnsi="Times New Roman" w:cs="Times New Roman"/>
                <w:sz w:val="24"/>
                <w:szCs w:val="24"/>
              </w:rPr>
              <w:t>by aircraft</w:t>
            </w:r>
            <w:r>
              <w:rPr>
                <w:rFonts w:ascii="Times New Roman" w:hAnsi="Times New Roman" w:cs="Times New Roman"/>
                <w:sz w:val="24"/>
                <w:szCs w:val="24"/>
              </w:rPr>
              <w:t xml:space="preserve"> and other vessels</w:t>
            </w:r>
            <w:r w:rsidRPr="005B6FDF">
              <w:rPr>
                <w:rFonts w:ascii="Times New Roman" w:hAnsi="Times New Roman" w:cs="Times New Roman"/>
                <w:sz w:val="24"/>
                <w:szCs w:val="24"/>
              </w:rPr>
              <w:t xml:space="preserve"> as well as satellites.</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3.2</w:t>
            </w:r>
          </w:p>
        </w:tc>
        <w:tc>
          <w:tcPr>
            <w:tcW w:w="5576" w:type="dxa"/>
            <w:gridSpan w:val="2"/>
          </w:tcPr>
          <w:p w:rsidR="000D1A4E" w:rsidRPr="009B7A88" w:rsidRDefault="000D1A4E" w:rsidP="000D1A4E">
            <w:pPr>
              <w:jc w:val="both"/>
              <w:rPr>
                <w:rFonts w:ascii="Times New Roman" w:hAnsi="Times New Roman" w:cs="Times New Roman"/>
                <w:sz w:val="24"/>
                <w:szCs w:val="24"/>
              </w:rPr>
            </w:pPr>
            <w:r w:rsidRPr="005B6FDF">
              <w:rPr>
                <w:rFonts w:ascii="Times New Roman" w:hAnsi="Times New Roman" w:cs="Times New Roman"/>
                <w:sz w:val="24"/>
                <w:szCs w:val="24"/>
              </w:rPr>
              <w:t>A radio-frequency-screened room or enclosure</w:t>
            </w:r>
            <w:r w:rsidR="00662810">
              <w:rPr>
                <w:rFonts w:ascii="Times New Roman" w:hAnsi="Times New Roman" w:cs="Times New Roman"/>
                <w:sz w:val="24"/>
                <w:szCs w:val="24"/>
              </w:rPr>
              <w:t xml:space="preserve"> </w:t>
            </w:r>
            <w:r w:rsidRPr="005B6FDF">
              <w:rPr>
                <w:rFonts w:ascii="Times New Roman" w:hAnsi="Times New Roman" w:cs="Times New Roman"/>
                <w:sz w:val="24"/>
                <w:szCs w:val="24"/>
              </w:rPr>
              <w:t>should be used for all maintenance procedures involving, or likely to involve, any transmission from an EPIRB</w:t>
            </w:r>
            <w:r w:rsidR="00662810">
              <w:rPr>
                <w:rFonts w:ascii="Times New Roman" w:hAnsi="Times New Roman" w:cs="Times New Roman"/>
                <w:sz w:val="24"/>
                <w:szCs w:val="24"/>
              </w:rPr>
              <w:t>.</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3.3</w:t>
            </w:r>
          </w:p>
        </w:tc>
        <w:tc>
          <w:tcPr>
            <w:tcW w:w="5576" w:type="dxa"/>
            <w:gridSpan w:val="2"/>
          </w:tcPr>
          <w:p w:rsidR="000D1A4E" w:rsidRPr="009B7A88" w:rsidRDefault="000D1A4E" w:rsidP="000D1A4E">
            <w:pPr>
              <w:jc w:val="both"/>
              <w:rPr>
                <w:rFonts w:ascii="Times New Roman" w:hAnsi="Times New Roman" w:cs="Times New Roman"/>
                <w:sz w:val="24"/>
                <w:szCs w:val="24"/>
              </w:rPr>
            </w:pPr>
            <w:r w:rsidRPr="004A7962">
              <w:rPr>
                <w:rFonts w:ascii="Times New Roman" w:hAnsi="Times New Roman" w:cs="Times New Roman"/>
                <w:sz w:val="24"/>
                <w:szCs w:val="24"/>
              </w:rPr>
              <w:t>Provision of a 121.5 MHz monitor receiver and AIS receiver is required; this will</w:t>
            </w:r>
            <w:r>
              <w:rPr>
                <w:rFonts w:ascii="Times New Roman" w:hAnsi="Times New Roman" w:cs="Times New Roman"/>
                <w:sz w:val="24"/>
                <w:szCs w:val="24"/>
              </w:rPr>
              <w:t xml:space="preserve"> allow for the receipt of the ho</w:t>
            </w:r>
            <w:r w:rsidRPr="004A7962">
              <w:rPr>
                <w:rFonts w:ascii="Times New Roman" w:hAnsi="Times New Roman" w:cs="Times New Roman"/>
                <w:sz w:val="24"/>
                <w:szCs w:val="24"/>
              </w:rPr>
              <w:t>ming and/or AIS transmitter signal and give a warning if the EPIRB is accidentally activated outside the screened enclosure.</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0D1A4E" w:rsidTr="000B4D93">
        <w:tc>
          <w:tcPr>
            <w:tcW w:w="892" w:type="dxa"/>
            <w:vAlign w:val="center"/>
          </w:tcPr>
          <w:p w:rsidR="000D1A4E" w:rsidRDefault="000D1A4E" w:rsidP="000D1A4E">
            <w:pPr>
              <w:jc w:val="center"/>
              <w:rPr>
                <w:rFonts w:ascii="Times New Roman" w:hAnsi="Times New Roman" w:cs="Times New Roman"/>
                <w:sz w:val="24"/>
                <w:szCs w:val="24"/>
              </w:rPr>
            </w:pPr>
            <w:r>
              <w:rPr>
                <w:rFonts w:ascii="Times New Roman" w:hAnsi="Times New Roman" w:cs="Times New Roman"/>
                <w:sz w:val="24"/>
                <w:szCs w:val="24"/>
              </w:rPr>
              <w:t>3.4</w:t>
            </w:r>
          </w:p>
        </w:tc>
        <w:tc>
          <w:tcPr>
            <w:tcW w:w="5576" w:type="dxa"/>
            <w:gridSpan w:val="2"/>
          </w:tcPr>
          <w:p w:rsidR="000D1A4E" w:rsidRPr="009B7A88" w:rsidRDefault="000D1A4E" w:rsidP="000D1A4E">
            <w:pPr>
              <w:jc w:val="both"/>
              <w:rPr>
                <w:rFonts w:ascii="Times New Roman" w:hAnsi="Times New Roman" w:cs="Times New Roman"/>
                <w:sz w:val="24"/>
                <w:szCs w:val="24"/>
              </w:rPr>
            </w:pPr>
            <w:r w:rsidRPr="004A7962">
              <w:rPr>
                <w:rFonts w:ascii="Times New Roman" w:hAnsi="Times New Roman" w:cs="Times New Roman"/>
                <w:sz w:val="24"/>
                <w:szCs w:val="24"/>
              </w:rPr>
              <w:t>If a distress signal is transmitted accidentally, the</w:t>
            </w:r>
            <w:r>
              <w:rPr>
                <w:rFonts w:ascii="Times New Roman" w:hAnsi="Times New Roman" w:cs="Times New Roman"/>
                <w:sz w:val="24"/>
                <w:szCs w:val="24"/>
              </w:rPr>
              <w:t xml:space="preserve"> transmission should immediately be stopped, and the </w:t>
            </w:r>
            <w:r w:rsidRPr="004A7962">
              <w:rPr>
                <w:rFonts w:ascii="Times New Roman" w:hAnsi="Times New Roman" w:cs="Times New Roman"/>
                <w:sz w:val="24"/>
                <w:szCs w:val="24"/>
              </w:rPr>
              <w:t xml:space="preserve">local </w:t>
            </w:r>
            <w:r>
              <w:rPr>
                <w:rFonts w:ascii="Times New Roman" w:hAnsi="Times New Roman" w:cs="Times New Roman"/>
                <w:sz w:val="24"/>
                <w:szCs w:val="24"/>
              </w:rPr>
              <w:t>Rescue Coordination Centre (</w:t>
            </w:r>
            <w:r w:rsidRPr="004A7962">
              <w:rPr>
                <w:rFonts w:ascii="Times New Roman" w:hAnsi="Times New Roman" w:cs="Times New Roman"/>
                <w:sz w:val="24"/>
                <w:szCs w:val="24"/>
              </w:rPr>
              <w:t>RCC</w:t>
            </w:r>
            <w:r>
              <w:rPr>
                <w:rFonts w:ascii="Times New Roman" w:hAnsi="Times New Roman" w:cs="Times New Roman"/>
                <w:sz w:val="24"/>
                <w:szCs w:val="24"/>
              </w:rPr>
              <w:t>)</w:t>
            </w:r>
            <w:r w:rsidRPr="004A7962">
              <w:rPr>
                <w:rFonts w:ascii="Times New Roman" w:hAnsi="Times New Roman" w:cs="Times New Roman"/>
                <w:sz w:val="24"/>
                <w:szCs w:val="24"/>
              </w:rPr>
              <w:t xml:space="preserve"> should be contacted immediately and informed</w:t>
            </w:r>
            <w:r>
              <w:rPr>
                <w:rFonts w:ascii="Times New Roman" w:hAnsi="Times New Roman" w:cs="Times New Roman"/>
                <w:sz w:val="24"/>
                <w:szCs w:val="24"/>
              </w:rPr>
              <w:t xml:space="preserve">. The nearest </w:t>
            </w:r>
            <w:proofErr w:type="spellStart"/>
            <w:r>
              <w:rPr>
                <w:rFonts w:ascii="Times New Roman" w:hAnsi="Times New Roman" w:cs="Times New Roman"/>
                <w:sz w:val="24"/>
                <w:szCs w:val="24"/>
              </w:rPr>
              <w:t>Copsas-Sarsat</w:t>
            </w:r>
            <w:proofErr w:type="spellEnd"/>
            <w:r>
              <w:rPr>
                <w:rFonts w:ascii="Times New Roman" w:hAnsi="Times New Roman" w:cs="Times New Roman"/>
                <w:sz w:val="24"/>
                <w:szCs w:val="24"/>
              </w:rPr>
              <w:t xml:space="preserve"> Mission Control Centre (MCC) should also be informed.</w:t>
            </w:r>
            <w:r w:rsidRPr="004A7962">
              <w:rPr>
                <w:rFonts w:ascii="Times New Roman" w:hAnsi="Times New Roman" w:cs="Times New Roman"/>
                <w:sz w:val="24"/>
                <w:szCs w:val="24"/>
              </w:rPr>
              <w:t xml:space="preserve"> </w:t>
            </w:r>
            <w:r>
              <w:rPr>
                <w:rFonts w:ascii="Times New Roman" w:hAnsi="Times New Roman" w:cs="Times New Roman"/>
                <w:sz w:val="24"/>
                <w:szCs w:val="24"/>
              </w:rPr>
              <w:t>(see also Guidelines for the avoidance of false distress alerts (resolution A.814(19), as may be updated);</w:t>
            </w:r>
          </w:p>
        </w:tc>
        <w:tc>
          <w:tcPr>
            <w:tcW w:w="2217" w:type="dxa"/>
          </w:tcPr>
          <w:p w:rsidR="000D1A4E" w:rsidRDefault="000D1A4E" w:rsidP="000D1A4E">
            <w:pPr>
              <w:jc w:val="center"/>
              <w:rPr>
                <w:rFonts w:ascii="Times New Roman" w:hAnsi="Times New Roman" w:cs="Times New Roman"/>
                <w:b/>
                <w:bCs/>
                <w:sz w:val="24"/>
                <w:szCs w:val="24"/>
              </w:rPr>
            </w:pPr>
          </w:p>
        </w:tc>
        <w:tc>
          <w:tcPr>
            <w:tcW w:w="1143" w:type="dxa"/>
          </w:tcPr>
          <w:p w:rsidR="000D1A4E" w:rsidRDefault="000D1A4E" w:rsidP="000D1A4E">
            <w:pPr>
              <w:jc w:val="center"/>
              <w:rPr>
                <w:rFonts w:ascii="Times New Roman" w:hAnsi="Times New Roman" w:cs="Times New Roman"/>
                <w:b/>
                <w:bCs/>
                <w:sz w:val="24"/>
                <w:szCs w:val="24"/>
              </w:rPr>
            </w:pPr>
          </w:p>
        </w:tc>
      </w:tr>
      <w:tr w:rsidR="004D4068" w:rsidTr="00002D69">
        <w:tc>
          <w:tcPr>
            <w:tcW w:w="9828" w:type="dxa"/>
            <w:gridSpan w:val="5"/>
          </w:tcPr>
          <w:p w:rsidR="004D4068" w:rsidRPr="004A7962" w:rsidRDefault="004D4068" w:rsidP="004D4068">
            <w:pPr>
              <w:pStyle w:val="ListParagraph"/>
              <w:numPr>
                <w:ilvl w:val="0"/>
                <w:numId w:val="2"/>
              </w:numPr>
              <w:ind w:left="900" w:hanging="720"/>
              <w:rPr>
                <w:rFonts w:ascii="Times New Roman" w:hAnsi="Times New Roman" w:cs="Times New Roman"/>
                <w:b/>
                <w:bCs/>
                <w:sz w:val="24"/>
                <w:szCs w:val="24"/>
              </w:rPr>
            </w:pPr>
            <w:r w:rsidRPr="004A7962">
              <w:rPr>
                <w:rFonts w:ascii="Times New Roman" w:hAnsi="Times New Roman" w:cs="Times New Roman"/>
                <w:b/>
                <w:bCs/>
                <w:sz w:val="24"/>
                <w:szCs w:val="24"/>
              </w:rPr>
              <w:t>Maintenance service interval</w:t>
            </w:r>
          </w:p>
        </w:tc>
      </w:tr>
      <w:tr w:rsidR="004D4068" w:rsidTr="000B4D93">
        <w:tc>
          <w:tcPr>
            <w:tcW w:w="892" w:type="dxa"/>
            <w:tcBorders>
              <w:bottom w:val="single" w:sz="4" w:space="0" w:color="000000" w:themeColor="text1"/>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4.1</w:t>
            </w:r>
          </w:p>
        </w:tc>
        <w:tc>
          <w:tcPr>
            <w:tcW w:w="5576" w:type="dxa"/>
            <w:gridSpan w:val="2"/>
            <w:tcBorders>
              <w:bottom w:val="single" w:sz="4" w:space="0" w:color="000000" w:themeColor="text1"/>
            </w:tcBorders>
          </w:tcPr>
          <w:p w:rsidR="004D4068" w:rsidRPr="009B7A88" w:rsidRDefault="004D4068" w:rsidP="004D4068">
            <w:pPr>
              <w:jc w:val="both"/>
              <w:rPr>
                <w:rFonts w:ascii="Times New Roman" w:hAnsi="Times New Roman" w:cs="Times New Roman"/>
                <w:sz w:val="24"/>
                <w:szCs w:val="24"/>
              </w:rPr>
            </w:pPr>
            <w:r>
              <w:rPr>
                <w:rFonts w:ascii="Times New Roman" w:hAnsi="Times New Roman" w:cs="Times New Roman"/>
                <w:sz w:val="24"/>
                <w:szCs w:val="24"/>
              </w:rPr>
              <w:t>EPIRBs</w:t>
            </w:r>
            <w:r w:rsidRPr="004A7962">
              <w:rPr>
                <w:rFonts w:ascii="Times New Roman" w:hAnsi="Times New Roman" w:cs="Times New Roman"/>
                <w:sz w:val="24"/>
                <w:szCs w:val="24"/>
              </w:rPr>
              <w:t xml:space="preserve"> should be inspected and tested in accordance with MSC/Circ.1040/Rev 2</w:t>
            </w:r>
            <w:r>
              <w:rPr>
                <w:rFonts w:ascii="Times New Roman" w:hAnsi="Times New Roman" w:cs="Times New Roman"/>
                <w:sz w:val="24"/>
                <w:szCs w:val="24"/>
              </w:rPr>
              <w:t>.</w:t>
            </w:r>
          </w:p>
        </w:tc>
        <w:tc>
          <w:tcPr>
            <w:tcW w:w="2217" w:type="dxa"/>
            <w:tcBorders>
              <w:bottom w:val="single" w:sz="4" w:space="0" w:color="000000" w:themeColor="text1"/>
            </w:tcBorders>
          </w:tcPr>
          <w:p w:rsidR="004D4068" w:rsidRPr="009B7A88" w:rsidRDefault="004D4068" w:rsidP="004D4068">
            <w:pPr>
              <w:rPr>
                <w:rFonts w:ascii="Times New Roman" w:hAnsi="Times New Roman" w:cs="Times New Roman"/>
                <w:sz w:val="24"/>
                <w:szCs w:val="24"/>
              </w:rPr>
            </w:pPr>
          </w:p>
        </w:tc>
        <w:tc>
          <w:tcPr>
            <w:tcW w:w="1143" w:type="dxa"/>
            <w:tcBorders>
              <w:bottom w:val="single" w:sz="4" w:space="0" w:color="000000" w:themeColor="text1"/>
            </w:tcBorders>
          </w:tcPr>
          <w:p w:rsidR="004D4068" w:rsidRDefault="004D4068" w:rsidP="004D4068">
            <w:pPr>
              <w:rPr>
                <w:rFonts w:ascii="Times New Roman" w:hAnsi="Times New Roman" w:cs="Times New Roman"/>
                <w:sz w:val="24"/>
                <w:szCs w:val="24"/>
              </w:rPr>
            </w:pPr>
          </w:p>
        </w:tc>
      </w:tr>
      <w:tr w:rsidR="004D4068" w:rsidTr="000B4D93">
        <w:tc>
          <w:tcPr>
            <w:tcW w:w="892" w:type="dxa"/>
            <w:tcBorders>
              <w:bottom w:val="nil"/>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4.2</w:t>
            </w:r>
          </w:p>
        </w:tc>
        <w:tc>
          <w:tcPr>
            <w:tcW w:w="5576" w:type="dxa"/>
            <w:gridSpan w:val="2"/>
            <w:tcBorders>
              <w:bottom w:val="nil"/>
            </w:tcBorders>
          </w:tcPr>
          <w:p w:rsidR="004D4068" w:rsidRPr="009B7A88" w:rsidRDefault="004D4068" w:rsidP="004D4068">
            <w:pPr>
              <w:jc w:val="both"/>
              <w:rPr>
                <w:rFonts w:ascii="Times New Roman" w:hAnsi="Times New Roman" w:cs="Times New Roman"/>
                <w:sz w:val="24"/>
                <w:szCs w:val="24"/>
              </w:rPr>
            </w:pPr>
            <w:r>
              <w:rPr>
                <w:rFonts w:ascii="Times New Roman" w:hAnsi="Times New Roman" w:cs="Times New Roman"/>
                <w:sz w:val="24"/>
                <w:szCs w:val="24"/>
              </w:rPr>
              <w:t xml:space="preserve">Shore-based maintenance of all EPIRBs, as defined in paragraph 1.2, should be carried out in accordance with these Guidelines at intervals specified by the </w:t>
            </w:r>
            <w:r w:rsidRPr="004A7962">
              <w:rPr>
                <w:rFonts w:ascii="Times New Roman" w:hAnsi="Times New Roman" w:cs="Times New Roman"/>
                <w:sz w:val="24"/>
                <w:szCs w:val="24"/>
              </w:rPr>
              <w:t>flag State Administration and not exceeding five years. It is recommended that the battery be replaced at the time when the maintenance is performed. If the battery is being replaced, or other servicing performed, the recommended shore-based maintenance sho</w:t>
            </w:r>
            <w:r w:rsidR="00F95800">
              <w:rPr>
                <w:rFonts w:ascii="Times New Roman" w:hAnsi="Times New Roman" w:cs="Times New Roman"/>
                <w:sz w:val="24"/>
                <w:szCs w:val="24"/>
              </w:rPr>
              <w:t>uld be performed concurrently.</w:t>
            </w:r>
          </w:p>
        </w:tc>
        <w:tc>
          <w:tcPr>
            <w:tcW w:w="2217" w:type="dxa"/>
            <w:tcBorders>
              <w:bottom w:val="nil"/>
            </w:tcBorders>
          </w:tcPr>
          <w:p w:rsidR="004D4068" w:rsidRPr="009B7A88" w:rsidRDefault="004D4068" w:rsidP="004D4068">
            <w:pPr>
              <w:rPr>
                <w:rFonts w:ascii="Times New Roman" w:hAnsi="Times New Roman" w:cs="Times New Roman"/>
                <w:sz w:val="24"/>
                <w:szCs w:val="24"/>
              </w:rPr>
            </w:pPr>
          </w:p>
        </w:tc>
        <w:tc>
          <w:tcPr>
            <w:tcW w:w="1143" w:type="dxa"/>
            <w:tcBorders>
              <w:bottom w:val="nil"/>
            </w:tcBorders>
          </w:tcPr>
          <w:p w:rsidR="004D4068" w:rsidRDefault="004D4068" w:rsidP="004D4068">
            <w:pPr>
              <w:rPr>
                <w:rFonts w:ascii="Times New Roman" w:hAnsi="Times New Roman" w:cs="Times New Roman"/>
                <w:sz w:val="24"/>
                <w:szCs w:val="24"/>
              </w:rPr>
            </w:pPr>
          </w:p>
        </w:tc>
      </w:tr>
      <w:tr w:rsidR="004D4068" w:rsidTr="000B4D93">
        <w:tc>
          <w:tcPr>
            <w:tcW w:w="892" w:type="dxa"/>
            <w:tcBorders>
              <w:top w:val="nil"/>
            </w:tcBorders>
            <w:vAlign w:val="center"/>
          </w:tcPr>
          <w:p w:rsidR="004D4068" w:rsidRDefault="004D4068" w:rsidP="004D4068">
            <w:pPr>
              <w:jc w:val="center"/>
              <w:rPr>
                <w:rFonts w:ascii="Times New Roman" w:hAnsi="Times New Roman" w:cs="Times New Roman"/>
                <w:sz w:val="24"/>
                <w:szCs w:val="24"/>
              </w:rPr>
            </w:pPr>
          </w:p>
        </w:tc>
        <w:tc>
          <w:tcPr>
            <w:tcW w:w="5576" w:type="dxa"/>
            <w:gridSpan w:val="2"/>
            <w:tcBorders>
              <w:top w:val="nil"/>
            </w:tcBorders>
          </w:tcPr>
          <w:p w:rsidR="004D4068" w:rsidRPr="005B6FDF" w:rsidRDefault="004D4068" w:rsidP="004D4068">
            <w:pPr>
              <w:jc w:val="both"/>
              <w:rPr>
                <w:rFonts w:ascii="Times New Roman" w:hAnsi="Times New Roman" w:cs="Times New Roman"/>
                <w:sz w:val="24"/>
                <w:szCs w:val="24"/>
              </w:rPr>
            </w:pPr>
          </w:p>
        </w:tc>
        <w:tc>
          <w:tcPr>
            <w:tcW w:w="2217" w:type="dxa"/>
            <w:tcBorders>
              <w:top w:val="nil"/>
            </w:tcBorders>
          </w:tcPr>
          <w:p w:rsidR="004D4068" w:rsidRDefault="004D4068" w:rsidP="004D4068">
            <w:pPr>
              <w:jc w:val="center"/>
              <w:rPr>
                <w:rFonts w:ascii="Times New Roman" w:hAnsi="Times New Roman" w:cs="Times New Roman"/>
                <w:b/>
                <w:bCs/>
                <w:sz w:val="24"/>
                <w:szCs w:val="24"/>
              </w:rPr>
            </w:pPr>
          </w:p>
        </w:tc>
        <w:tc>
          <w:tcPr>
            <w:tcW w:w="1143" w:type="dxa"/>
            <w:tcBorders>
              <w:top w:val="nil"/>
            </w:tcBorders>
          </w:tcPr>
          <w:p w:rsidR="004D4068" w:rsidRDefault="004D4068" w:rsidP="004D4068">
            <w:pPr>
              <w:jc w:val="center"/>
              <w:rPr>
                <w:rFonts w:ascii="Times New Roman" w:hAnsi="Times New Roman" w:cs="Times New Roman"/>
                <w:b/>
                <w:bCs/>
                <w:sz w:val="24"/>
                <w:szCs w:val="24"/>
              </w:rPr>
            </w:pPr>
          </w:p>
        </w:tc>
      </w:tr>
      <w:tr w:rsidR="004D4068" w:rsidTr="0022028F">
        <w:tc>
          <w:tcPr>
            <w:tcW w:w="9828" w:type="dxa"/>
            <w:gridSpan w:val="5"/>
            <w:vAlign w:val="center"/>
          </w:tcPr>
          <w:p w:rsidR="004D4068" w:rsidRDefault="004D4068" w:rsidP="004D4068">
            <w:pPr>
              <w:pStyle w:val="ListParagraph"/>
              <w:numPr>
                <w:ilvl w:val="0"/>
                <w:numId w:val="2"/>
              </w:numPr>
              <w:ind w:left="900" w:hanging="720"/>
              <w:rPr>
                <w:rFonts w:ascii="Times New Roman" w:hAnsi="Times New Roman" w:cs="Times New Roman"/>
                <w:b/>
                <w:bCs/>
                <w:sz w:val="24"/>
                <w:szCs w:val="24"/>
              </w:rPr>
            </w:pPr>
            <w:r w:rsidRPr="004A7962">
              <w:rPr>
                <w:rFonts w:ascii="Times New Roman" w:hAnsi="Times New Roman" w:cs="Times New Roman"/>
                <w:b/>
                <w:bCs/>
                <w:sz w:val="24"/>
                <w:szCs w:val="24"/>
              </w:rPr>
              <w:t>Self-Test</w:t>
            </w:r>
          </w:p>
        </w:tc>
      </w:tr>
      <w:tr w:rsidR="004D4068" w:rsidTr="000B4D93">
        <w:tc>
          <w:tcPr>
            <w:tcW w:w="892" w:type="dxa"/>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5.1</w:t>
            </w:r>
          </w:p>
        </w:tc>
        <w:tc>
          <w:tcPr>
            <w:tcW w:w="5576" w:type="dxa"/>
            <w:gridSpan w:val="2"/>
          </w:tcPr>
          <w:p w:rsidR="004D4068" w:rsidRPr="009B7A88" w:rsidRDefault="004D4068" w:rsidP="004D4068">
            <w:pPr>
              <w:jc w:val="both"/>
              <w:rPr>
                <w:rFonts w:ascii="Times New Roman" w:hAnsi="Times New Roman" w:cs="Times New Roman"/>
                <w:sz w:val="24"/>
                <w:szCs w:val="24"/>
              </w:rPr>
            </w:pPr>
            <w:r w:rsidRPr="004A7962">
              <w:rPr>
                <w:rFonts w:ascii="Times New Roman" w:hAnsi="Times New Roman" w:cs="Times New Roman"/>
                <w:sz w:val="24"/>
                <w:szCs w:val="24"/>
              </w:rPr>
              <w:t>Prior to carrying out any maintenance and, upon completion, a self-test should be performed, following the instructions on the equipment, and the results noted. If the beacon is fitted with GNSS self-test capability, then a GNSS self-test should be performed.</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rPr>
                <w:rFonts w:ascii="Times New Roman" w:hAnsi="Times New Roman" w:cs="Times New Roman"/>
                <w:sz w:val="24"/>
                <w:szCs w:val="24"/>
              </w:rPr>
            </w:pPr>
          </w:p>
        </w:tc>
      </w:tr>
      <w:tr w:rsidR="004D4068" w:rsidTr="000B4D93">
        <w:tc>
          <w:tcPr>
            <w:tcW w:w="892" w:type="dxa"/>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5.2</w:t>
            </w:r>
          </w:p>
        </w:tc>
        <w:tc>
          <w:tcPr>
            <w:tcW w:w="5576" w:type="dxa"/>
            <w:gridSpan w:val="2"/>
          </w:tcPr>
          <w:p w:rsidR="004D4068" w:rsidRPr="009B7A88" w:rsidRDefault="004D4068" w:rsidP="004D4068">
            <w:pPr>
              <w:jc w:val="both"/>
              <w:rPr>
                <w:rFonts w:ascii="Times New Roman" w:hAnsi="Times New Roman" w:cs="Times New Roman"/>
                <w:sz w:val="24"/>
                <w:szCs w:val="24"/>
              </w:rPr>
            </w:pPr>
            <w:r w:rsidRPr="004A7962">
              <w:rPr>
                <w:rFonts w:ascii="Times New Roman" w:hAnsi="Times New Roman" w:cs="Times New Roman"/>
                <w:sz w:val="24"/>
                <w:szCs w:val="24"/>
              </w:rPr>
              <w:t>Attention is drawn to section 3 on the prevention of false distress alerts. Avoidance of live transmissions is required to prevent unnecessary loading of the satellite channels and the relay of false distress alerts to local RCCs.</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rPr>
                <w:rFonts w:ascii="Times New Roman" w:hAnsi="Times New Roman" w:cs="Times New Roman"/>
                <w:sz w:val="24"/>
                <w:szCs w:val="24"/>
              </w:rPr>
            </w:pPr>
          </w:p>
        </w:tc>
      </w:tr>
      <w:tr w:rsidR="004D4068" w:rsidTr="000B4D93">
        <w:tc>
          <w:tcPr>
            <w:tcW w:w="892" w:type="dxa"/>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5.3</w:t>
            </w:r>
          </w:p>
        </w:tc>
        <w:tc>
          <w:tcPr>
            <w:tcW w:w="5576" w:type="dxa"/>
            <w:gridSpan w:val="2"/>
          </w:tcPr>
          <w:p w:rsidR="004D4068" w:rsidRPr="009B7A88" w:rsidRDefault="004D4068" w:rsidP="004D4068">
            <w:pPr>
              <w:jc w:val="both"/>
              <w:rPr>
                <w:rFonts w:ascii="Times New Roman" w:hAnsi="Times New Roman" w:cs="Times New Roman"/>
                <w:sz w:val="24"/>
                <w:szCs w:val="24"/>
              </w:rPr>
            </w:pPr>
            <w:r w:rsidRPr="004A7962">
              <w:rPr>
                <w:rFonts w:ascii="Times New Roman" w:hAnsi="Times New Roman" w:cs="Times New Roman"/>
                <w:sz w:val="24"/>
                <w:szCs w:val="24"/>
              </w:rPr>
              <w:t xml:space="preserve">It should be verified that the self-test mode operates properly. This check could be performed by holding the switch in self-test mode position for at least one minute </w:t>
            </w:r>
            <w:r w:rsidRPr="004A7962">
              <w:rPr>
                <w:rFonts w:ascii="Times New Roman" w:hAnsi="Times New Roman" w:cs="Times New Roman"/>
                <w:sz w:val="24"/>
                <w:szCs w:val="24"/>
              </w:rPr>
              <w:lastRenderedPageBreak/>
              <w:t>and then releasing it. The number of self-test bursts should be verified to be no more than one.</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rPr>
                <w:rFonts w:ascii="Times New Roman" w:hAnsi="Times New Roman" w:cs="Times New Roman"/>
                <w:sz w:val="24"/>
                <w:szCs w:val="24"/>
              </w:rPr>
            </w:pPr>
          </w:p>
        </w:tc>
      </w:tr>
      <w:tr w:rsidR="004D4068" w:rsidTr="001733F4">
        <w:tc>
          <w:tcPr>
            <w:tcW w:w="9828" w:type="dxa"/>
            <w:gridSpan w:val="5"/>
            <w:vAlign w:val="center"/>
          </w:tcPr>
          <w:p w:rsidR="004D4068" w:rsidRDefault="004D4068" w:rsidP="004D4068">
            <w:pPr>
              <w:pStyle w:val="ListParagraph"/>
              <w:numPr>
                <w:ilvl w:val="0"/>
                <w:numId w:val="2"/>
              </w:numPr>
              <w:ind w:left="900" w:hanging="720"/>
              <w:rPr>
                <w:rFonts w:ascii="Times New Roman" w:hAnsi="Times New Roman" w:cs="Times New Roman"/>
                <w:b/>
                <w:bCs/>
                <w:sz w:val="24"/>
                <w:szCs w:val="24"/>
              </w:rPr>
            </w:pPr>
            <w:r w:rsidRPr="004A7962">
              <w:rPr>
                <w:rFonts w:ascii="Times New Roman" w:hAnsi="Times New Roman" w:cs="Times New Roman"/>
                <w:b/>
                <w:bCs/>
                <w:sz w:val="24"/>
                <w:szCs w:val="24"/>
              </w:rPr>
              <w:lastRenderedPageBreak/>
              <w:t>Battery change</w:t>
            </w:r>
          </w:p>
        </w:tc>
      </w:tr>
      <w:tr w:rsidR="004D4068" w:rsidTr="00F95800">
        <w:tc>
          <w:tcPr>
            <w:tcW w:w="1033" w:type="dxa"/>
            <w:gridSpan w:val="2"/>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6.1</w:t>
            </w:r>
          </w:p>
        </w:tc>
        <w:tc>
          <w:tcPr>
            <w:tcW w:w="5435" w:type="dxa"/>
          </w:tcPr>
          <w:p w:rsidR="004D4068" w:rsidRPr="009B7A88" w:rsidRDefault="004D4068" w:rsidP="004D4068">
            <w:pPr>
              <w:jc w:val="both"/>
              <w:rPr>
                <w:rFonts w:ascii="Times New Roman" w:hAnsi="Times New Roman" w:cs="Times New Roman"/>
                <w:sz w:val="24"/>
                <w:szCs w:val="24"/>
              </w:rPr>
            </w:pPr>
            <w:r w:rsidRPr="004A7962">
              <w:rPr>
                <w:rFonts w:ascii="Times New Roman" w:hAnsi="Times New Roman" w:cs="Times New Roman"/>
                <w:sz w:val="24"/>
                <w:szCs w:val="24"/>
              </w:rPr>
              <w:t>The main battery should be changed in accordance with the manufacturer's recommendations, including the replacement of any other routine service parts (e.g. seals, memory battery, desiccant)</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rPr>
                <w:rFonts w:ascii="Times New Roman" w:hAnsi="Times New Roman" w:cs="Times New Roman"/>
                <w:sz w:val="24"/>
                <w:szCs w:val="24"/>
              </w:rPr>
            </w:pPr>
          </w:p>
        </w:tc>
      </w:tr>
      <w:tr w:rsidR="004D4068" w:rsidTr="00F95800">
        <w:tc>
          <w:tcPr>
            <w:tcW w:w="1033" w:type="dxa"/>
            <w:gridSpan w:val="2"/>
            <w:tcBorders>
              <w:bottom w:val="single" w:sz="4" w:space="0" w:color="000000" w:themeColor="text1"/>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6.2</w:t>
            </w:r>
          </w:p>
        </w:tc>
        <w:tc>
          <w:tcPr>
            <w:tcW w:w="5435" w:type="dxa"/>
            <w:tcBorders>
              <w:bottom w:val="single" w:sz="4" w:space="0" w:color="000000" w:themeColor="text1"/>
            </w:tcBorders>
          </w:tcPr>
          <w:p w:rsidR="004D4068" w:rsidRPr="009B7A88" w:rsidRDefault="004D4068" w:rsidP="004D4068">
            <w:pPr>
              <w:jc w:val="both"/>
              <w:rPr>
                <w:rFonts w:ascii="Times New Roman" w:hAnsi="Times New Roman" w:cs="Times New Roman"/>
                <w:sz w:val="24"/>
                <w:szCs w:val="24"/>
              </w:rPr>
            </w:pPr>
            <w:r w:rsidRPr="004A7962">
              <w:rPr>
                <w:rFonts w:ascii="Times New Roman" w:hAnsi="Times New Roman" w:cs="Times New Roman"/>
                <w:sz w:val="24"/>
                <w:szCs w:val="24"/>
              </w:rPr>
              <w:t>The removed batteries should be disposed of in accordance with the manufacturer's and/or national/local recommendations.</w:t>
            </w:r>
          </w:p>
        </w:tc>
        <w:tc>
          <w:tcPr>
            <w:tcW w:w="2217" w:type="dxa"/>
            <w:tcBorders>
              <w:bottom w:val="single" w:sz="4" w:space="0" w:color="000000" w:themeColor="text1"/>
            </w:tcBorders>
          </w:tcPr>
          <w:p w:rsidR="004D4068" w:rsidRPr="009B7A88" w:rsidRDefault="004D4068" w:rsidP="004D4068">
            <w:pPr>
              <w:rPr>
                <w:rFonts w:ascii="Times New Roman" w:hAnsi="Times New Roman" w:cs="Times New Roman"/>
                <w:sz w:val="24"/>
                <w:szCs w:val="24"/>
              </w:rPr>
            </w:pPr>
          </w:p>
        </w:tc>
        <w:tc>
          <w:tcPr>
            <w:tcW w:w="1143" w:type="dxa"/>
            <w:tcBorders>
              <w:bottom w:val="single" w:sz="4" w:space="0" w:color="000000" w:themeColor="text1"/>
            </w:tcBorders>
          </w:tcPr>
          <w:p w:rsidR="004D4068" w:rsidRDefault="004D4068" w:rsidP="004D4068">
            <w:pPr>
              <w:rPr>
                <w:rFonts w:ascii="Times New Roman" w:hAnsi="Times New Roman" w:cs="Times New Roman"/>
                <w:sz w:val="24"/>
                <w:szCs w:val="24"/>
              </w:rPr>
            </w:pPr>
          </w:p>
        </w:tc>
      </w:tr>
      <w:tr w:rsidR="004D4068" w:rsidTr="00F95800">
        <w:tc>
          <w:tcPr>
            <w:tcW w:w="1033" w:type="dxa"/>
            <w:gridSpan w:val="2"/>
            <w:tcBorders>
              <w:bottom w:val="nil"/>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6.3</w:t>
            </w:r>
          </w:p>
        </w:tc>
        <w:tc>
          <w:tcPr>
            <w:tcW w:w="5435" w:type="dxa"/>
            <w:tcBorders>
              <w:bottom w:val="nil"/>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After having changed the battery, the new battery expiry date label, as supplied by the beacon manufacturer with the replacement battery, should be fixed on the exterior surface of the EPIRB.</w:t>
            </w:r>
          </w:p>
        </w:tc>
        <w:tc>
          <w:tcPr>
            <w:tcW w:w="2217" w:type="dxa"/>
            <w:tcBorders>
              <w:bottom w:val="nil"/>
            </w:tcBorders>
          </w:tcPr>
          <w:p w:rsidR="004D4068" w:rsidRPr="009B7A88" w:rsidRDefault="004D4068" w:rsidP="004D4068">
            <w:pPr>
              <w:rPr>
                <w:rFonts w:ascii="Times New Roman" w:hAnsi="Times New Roman" w:cs="Times New Roman"/>
                <w:sz w:val="24"/>
                <w:szCs w:val="24"/>
              </w:rPr>
            </w:pPr>
          </w:p>
        </w:tc>
        <w:tc>
          <w:tcPr>
            <w:tcW w:w="1143" w:type="dxa"/>
            <w:tcBorders>
              <w:bottom w:val="nil"/>
            </w:tcBorders>
          </w:tcPr>
          <w:p w:rsidR="004D4068" w:rsidRDefault="004D4068" w:rsidP="004D4068">
            <w:pPr>
              <w:rPr>
                <w:rFonts w:ascii="Times New Roman" w:hAnsi="Times New Roman" w:cs="Times New Roman"/>
                <w:sz w:val="24"/>
                <w:szCs w:val="24"/>
              </w:rPr>
            </w:pPr>
          </w:p>
        </w:tc>
      </w:tr>
      <w:tr w:rsidR="004D4068" w:rsidTr="00F95800">
        <w:tc>
          <w:tcPr>
            <w:tcW w:w="1033" w:type="dxa"/>
            <w:gridSpan w:val="2"/>
            <w:tcBorders>
              <w:top w:val="nil"/>
            </w:tcBorders>
            <w:vAlign w:val="center"/>
          </w:tcPr>
          <w:p w:rsidR="004D4068" w:rsidRDefault="004D4068" w:rsidP="004D4068">
            <w:pPr>
              <w:jc w:val="center"/>
              <w:rPr>
                <w:rFonts w:ascii="Times New Roman" w:hAnsi="Times New Roman" w:cs="Times New Roman"/>
                <w:sz w:val="24"/>
                <w:szCs w:val="24"/>
              </w:rPr>
            </w:pPr>
          </w:p>
        </w:tc>
        <w:tc>
          <w:tcPr>
            <w:tcW w:w="5435" w:type="dxa"/>
            <w:tcBorders>
              <w:top w:val="nil"/>
            </w:tcBorders>
          </w:tcPr>
          <w:p w:rsidR="004D4068" w:rsidRPr="005B6FDF" w:rsidRDefault="004D4068" w:rsidP="004D4068">
            <w:pPr>
              <w:jc w:val="both"/>
              <w:rPr>
                <w:rFonts w:ascii="Times New Roman" w:hAnsi="Times New Roman" w:cs="Times New Roman"/>
                <w:sz w:val="24"/>
                <w:szCs w:val="24"/>
              </w:rPr>
            </w:pPr>
          </w:p>
        </w:tc>
        <w:tc>
          <w:tcPr>
            <w:tcW w:w="2217" w:type="dxa"/>
            <w:tcBorders>
              <w:top w:val="nil"/>
            </w:tcBorders>
          </w:tcPr>
          <w:p w:rsidR="004D4068" w:rsidRDefault="004D4068" w:rsidP="004D4068">
            <w:pPr>
              <w:jc w:val="center"/>
              <w:rPr>
                <w:rFonts w:ascii="Times New Roman" w:hAnsi="Times New Roman" w:cs="Times New Roman"/>
                <w:b/>
                <w:bCs/>
                <w:sz w:val="24"/>
                <w:szCs w:val="24"/>
              </w:rPr>
            </w:pPr>
          </w:p>
        </w:tc>
        <w:tc>
          <w:tcPr>
            <w:tcW w:w="1143" w:type="dxa"/>
            <w:tcBorders>
              <w:top w:val="nil"/>
            </w:tcBorders>
          </w:tcPr>
          <w:p w:rsidR="004D4068" w:rsidRDefault="004D4068" w:rsidP="004D4068">
            <w:pPr>
              <w:jc w:val="center"/>
              <w:rPr>
                <w:rFonts w:ascii="Times New Roman" w:hAnsi="Times New Roman" w:cs="Times New Roman"/>
                <w:b/>
                <w:bCs/>
                <w:sz w:val="24"/>
                <w:szCs w:val="24"/>
              </w:rPr>
            </w:pPr>
          </w:p>
        </w:tc>
      </w:tr>
      <w:tr w:rsidR="004D4068" w:rsidTr="006D721F">
        <w:tc>
          <w:tcPr>
            <w:tcW w:w="9828" w:type="dxa"/>
            <w:gridSpan w:val="5"/>
            <w:vAlign w:val="center"/>
          </w:tcPr>
          <w:p w:rsidR="004D4068" w:rsidRDefault="004D4068" w:rsidP="004D4068">
            <w:pPr>
              <w:pStyle w:val="ListParagraph"/>
              <w:numPr>
                <w:ilvl w:val="0"/>
                <w:numId w:val="2"/>
              </w:numPr>
              <w:ind w:left="900" w:hanging="720"/>
              <w:rPr>
                <w:rFonts w:ascii="Times New Roman" w:hAnsi="Times New Roman" w:cs="Times New Roman"/>
                <w:b/>
                <w:bCs/>
                <w:sz w:val="24"/>
                <w:szCs w:val="24"/>
              </w:rPr>
            </w:pPr>
            <w:r w:rsidRPr="009D11E9">
              <w:rPr>
                <w:rFonts w:ascii="Times New Roman" w:hAnsi="Times New Roman" w:cs="Times New Roman"/>
                <w:b/>
                <w:bCs/>
                <w:sz w:val="24"/>
                <w:szCs w:val="24"/>
              </w:rPr>
              <w:t>Satellite distress transmission</w:t>
            </w:r>
          </w:p>
        </w:tc>
      </w:tr>
      <w:tr w:rsidR="004D4068" w:rsidTr="00F95800">
        <w:tc>
          <w:tcPr>
            <w:tcW w:w="1033" w:type="dxa"/>
            <w:gridSpan w:val="2"/>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7.1</w:t>
            </w:r>
          </w:p>
        </w:tc>
        <w:tc>
          <w:tcPr>
            <w:tcW w:w="5435" w:type="dxa"/>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EPIRB should be activated in</w:t>
            </w:r>
            <w:r>
              <w:rPr>
                <w:rFonts w:ascii="Times New Roman" w:hAnsi="Times New Roman" w:cs="Times New Roman"/>
                <w:sz w:val="24"/>
                <w:szCs w:val="24"/>
              </w:rPr>
              <w:t xml:space="preserve"> its normal transmitting mode (i</w:t>
            </w:r>
            <w:r w:rsidR="00F95800">
              <w:rPr>
                <w:rFonts w:ascii="Times New Roman" w:hAnsi="Times New Roman" w:cs="Times New Roman"/>
                <w:sz w:val="24"/>
                <w:szCs w:val="24"/>
              </w:rPr>
              <w:t>.e. not just self-test).</w:t>
            </w:r>
            <w:r w:rsidRPr="009D11E9">
              <w:rPr>
                <w:rFonts w:ascii="Times New Roman" w:hAnsi="Times New Roman" w:cs="Times New Roman"/>
                <w:sz w:val="24"/>
                <w:szCs w:val="24"/>
              </w:rPr>
              <w:t xml:space="preserve"> Attention is drawn to section 3 on the prevention of false distress alerts</w:t>
            </w:r>
            <w:r>
              <w:rPr>
                <w:rFonts w:ascii="Times New Roman" w:hAnsi="Times New Roman" w:cs="Times New Roman"/>
                <w:sz w:val="24"/>
                <w:szCs w:val="24"/>
              </w:rPr>
              <w:t xml:space="preserve">. </w:t>
            </w:r>
            <w:r w:rsidRPr="009D11E9">
              <w:rPr>
                <w:rFonts w:ascii="Times New Roman" w:hAnsi="Times New Roman" w:cs="Times New Roman"/>
                <w:sz w:val="24"/>
                <w:szCs w:val="24"/>
              </w:rPr>
              <w:t>Where seawater contacts are fitted, these should be connected together, as indicated in the manufacturer maintenance instructions or servicing guidelines, to test activation of the EPIRB</w:t>
            </w:r>
            <w:r>
              <w:rPr>
                <w:rFonts w:ascii="Times New Roman" w:hAnsi="Times New Roman" w:cs="Times New Roman"/>
                <w:sz w:val="24"/>
                <w:szCs w:val="24"/>
              </w:rPr>
              <w:t>.</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jc w:val="center"/>
              <w:rPr>
                <w:rFonts w:ascii="Times New Roman" w:hAnsi="Times New Roman" w:cs="Times New Roman"/>
                <w:b/>
                <w:bCs/>
                <w:sz w:val="24"/>
                <w:szCs w:val="24"/>
              </w:rPr>
            </w:pPr>
          </w:p>
        </w:tc>
      </w:tr>
      <w:tr w:rsidR="004D4068" w:rsidTr="00F95800">
        <w:tc>
          <w:tcPr>
            <w:tcW w:w="1033" w:type="dxa"/>
            <w:gridSpan w:val="2"/>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7.2</w:t>
            </w:r>
          </w:p>
        </w:tc>
        <w:tc>
          <w:tcPr>
            <w:tcW w:w="5435" w:type="dxa"/>
          </w:tcPr>
          <w:p w:rsidR="004D4068" w:rsidRPr="009B7A88" w:rsidRDefault="004D4068" w:rsidP="004D4068">
            <w:pPr>
              <w:jc w:val="both"/>
              <w:rPr>
                <w:rFonts w:ascii="Times New Roman" w:hAnsi="Times New Roman" w:cs="Times New Roman"/>
                <w:sz w:val="24"/>
                <w:szCs w:val="24"/>
              </w:rPr>
            </w:pPr>
            <w:r w:rsidRPr="000B4D93">
              <w:rPr>
                <w:rFonts w:ascii="Times New Roman" w:hAnsi="Times New Roman" w:cs="Times New Roman"/>
                <w:sz w:val="24"/>
                <w:szCs w:val="24"/>
              </w:rPr>
              <w:t>The transmitted signal should be checked with a suitable test receiver to verify the signal integrity and coding.</w:t>
            </w:r>
          </w:p>
        </w:tc>
        <w:tc>
          <w:tcPr>
            <w:tcW w:w="2217" w:type="dxa"/>
          </w:tcPr>
          <w:p w:rsidR="004D4068" w:rsidRPr="009B7A88" w:rsidRDefault="004D4068" w:rsidP="004D4068">
            <w:pPr>
              <w:rPr>
                <w:rFonts w:ascii="Times New Roman" w:hAnsi="Times New Roman" w:cs="Times New Roman"/>
                <w:sz w:val="24"/>
                <w:szCs w:val="24"/>
              </w:rPr>
            </w:pPr>
          </w:p>
        </w:tc>
        <w:tc>
          <w:tcPr>
            <w:tcW w:w="1143" w:type="dxa"/>
          </w:tcPr>
          <w:p w:rsidR="004D4068" w:rsidRDefault="004D4068" w:rsidP="004D4068">
            <w:pPr>
              <w:jc w:val="center"/>
              <w:rPr>
                <w:rFonts w:ascii="Times New Roman" w:hAnsi="Times New Roman" w:cs="Times New Roman"/>
                <w:b/>
                <w:bCs/>
                <w:sz w:val="24"/>
                <w:szCs w:val="24"/>
              </w:rPr>
            </w:pPr>
          </w:p>
        </w:tc>
      </w:tr>
      <w:tr w:rsidR="004D4068" w:rsidTr="00F95800">
        <w:tc>
          <w:tcPr>
            <w:tcW w:w="1033" w:type="dxa"/>
            <w:gridSpan w:val="2"/>
            <w:tcBorders>
              <w:bottom w:val="single" w:sz="4" w:space="0" w:color="000000" w:themeColor="text1"/>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7.3</w:t>
            </w:r>
          </w:p>
        </w:tc>
        <w:tc>
          <w:tcPr>
            <w:tcW w:w="5435" w:type="dxa"/>
            <w:tcBorders>
              <w:bottom w:val="single" w:sz="4" w:space="0" w:color="000000" w:themeColor="text1"/>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frequency of the transmitted signal should be recorded and verified to be within the limits required by the specification to which it is approved.</w:t>
            </w:r>
          </w:p>
        </w:tc>
        <w:tc>
          <w:tcPr>
            <w:tcW w:w="2217" w:type="dxa"/>
            <w:tcBorders>
              <w:bottom w:val="single" w:sz="4" w:space="0" w:color="000000" w:themeColor="text1"/>
            </w:tcBorders>
          </w:tcPr>
          <w:p w:rsidR="004D4068" w:rsidRPr="009B7A88" w:rsidRDefault="004D4068" w:rsidP="004D4068">
            <w:pPr>
              <w:rPr>
                <w:rFonts w:ascii="Times New Roman" w:hAnsi="Times New Roman" w:cs="Times New Roman"/>
                <w:sz w:val="24"/>
                <w:szCs w:val="24"/>
              </w:rPr>
            </w:pPr>
          </w:p>
        </w:tc>
        <w:tc>
          <w:tcPr>
            <w:tcW w:w="1143" w:type="dxa"/>
            <w:tcBorders>
              <w:bottom w:val="single" w:sz="4" w:space="0" w:color="000000" w:themeColor="text1"/>
            </w:tcBorders>
          </w:tcPr>
          <w:p w:rsidR="004D4068" w:rsidRDefault="004D4068" w:rsidP="004D4068">
            <w:pPr>
              <w:jc w:val="center"/>
              <w:rPr>
                <w:rFonts w:ascii="Times New Roman" w:hAnsi="Times New Roman" w:cs="Times New Roman"/>
                <w:b/>
                <w:bCs/>
                <w:sz w:val="24"/>
                <w:szCs w:val="24"/>
              </w:rPr>
            </w:pPr>
          </w:p>
        </w:tc>
      </w:tr>
      <w:tr w:rsidR="004D4068" w:rsidTr="00F95800">
        <w:tc>
          <w:tcPr>
            <w:tcW w:w="1033" w:type="dxa"/>
            <w:gridSpan w:val="2"/>
            <w:tcBorders>
              <w:bottom w:val="nil"/>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7.4</w:t>
            </w:r>
          </w:p>
        </w:tc>
        <w:tc>
          <w:tcPr>
            <w:tcW w:w="5435" w:type="dxa"/>
            <w:tcBorders>
              <w:bottom w:val="nil"/>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output power of the transmitter should be checked in the self-test mode. A simple method of the emission verification, such as a low sensitivity receiver placed at an unobstructed distance of at least 3 m from the EPIRB antenna, may be used for this check. The original equipment manufacturer may suggest an appropriate method to verify the output power.</w:t>
            </w:r>
          </w:p>
        </w:tc>
        <w:tc>
          <w:tcPr>
            <w:tcW w:w="2217" w:type="dxa"/>
            <w:tcBorders>
              <w:bottom w:val="nil"/>
            </w:tcBorders>
          </w:tcPr>
          <w:p w:rsidR="004D4068" w:rsidRPr="009B7A88" w:rsidRDefault="004D4068" w:rsidP="004D4068">
            <w:pPr>
              <w:rPr>
                <w:rFonts w:ascii="Times New Roman" w:hAnsi="Times New Roman" w:cs="Times New Roman"/>
                <w:sz w:val="24"/>
                <w:szCs w:val="24"/>
              </w:rPr>
            </w:pPr>
          </w:p>
        </w:tc>
        <w:tc>
          <w:tcPr>
            <w:tcW w:w="1143" w:type="dxa"/>
            <w:tcBorders>
              <w:bottom w:val="nil"/>
            </w:tcBorders>
          </w:tcPr>
          <w:p w:rsidR="004D4068" w:rsidRDefault="004D4068" w:rsidP="004D4068">
            <w:pPr>
              <w:jc w:val="center"/>
              <w:rPr>
                <w:rFonts w:ascii="Times New Roman" w:hAnsi="Times New Roman" w:cs="Times New Roman"/>
                <w:b/>
                <w:bCs/>
                <w:sz w:val="24"/>
                <w:szCs w:val="24"/>
              </w:rPr>
            </w:pPr>
          </w:p>
        </w:tc>
      </w:tr>
      <w:tr w:rsidR="004D4068" w:rsidTr="00F95800">
        <w:tc>
          <w:tcPr>
            <w:tcW w:w="1033" w:type="dxa"/>
            <w:gridSpan w:val="2"/>
            <w:tcBorders>
              <w:top w:val="nil"/>
            </w:tcBorders>
            <w:vAlign w:val="center"/>
          </w:tcPr>
          <w:p w:rsidR="004D4068" w:rsidRDefault="004D4068" w:rsidP="004D4068">
            <w:pPr>
              <w:jc w:val="center"/>
              <w:rPr>
                <w:rFonts w:ascii="Times New Roman" w:hAnsi="Times New Roman" w:cs="Times New Roman"/>
                <w:sz w:val="24"/>
                <w:szCs w:val="24"/>
              </w:rPr>
            </w:pPr>
          </w:p>
        </w:tc>
        <w:tc>
          <w:tcPr>
            <w:tcW w:w="5435" w:type="dxa"/>
            <w:tcBorders>
              <w:top w:val="nil"/>
            </w:tcBorders>
          </w:tcPr>
          <w:p w:rsidR="004D4068" w:rsidRPr="005B6FDF" w:rsidRDefault="004D4068" w:rsidP="004D4068">
            <w:pPr>
              <w:jc w:val="both"/>
              <w:rPr>
                <w:rFonts w:ascii="Times New Roman" w:hAnsi="Times New Roman" w:cs="Times New Roman"/>
                <w:sz w:val="24"/>
                <w:szCs w:val="24"/>
              </w:rPr>
            </w:pPr>
          </w:p>
        </w:tc>
        <w:tc>
          <w:tcPr>
            <w:tcW w:w="2217" w:type="dxa"/>
            <w:tcBorders>
              <w:top w:val="nil"/>
            </w:tcBorders>
          </w:tcPr>
          <w:p w:rsidR="004D4068" w:rsidRDefault="004D4068" w:rsidP="004D4068">
            <w:pPr>
              <w:jc w:val="center"/>
              <w:rPr>
                <w:rFonts w:ascii="Times New Roman" w:hAnsi="Times New Roman" w:cs="Times New Roman"/>
                <w:b/>
                <w:bCs/>
                <w:sz w:val="24"/>
                <w:szCs w:val="24"/>
              </w:rPr>
            </w:pPr>
          </w:p>
        </w:tc>
        <w:tc>
          <w:tcPr>
            <w:tcW w:w="1143" w:type="dxa"/>
            <w:tcBorders>
              <w:top w:val="nil"/>
            </w:tcBorders>
          </w:tcPr>
          <w:p w:rsidR="004D4068" w:rsidRDefault="004D4068" w:rsidP="004D4068">
            <w:pPr>
              <w:jc w:val="center"/>
              <w:rPr>
                <w:rFonts w:ascii="Times New Roman" w:hAnsi="Times New Roman" w:cs="Times New Roman"/>
                <w:b/>
                <w:bCs/>
                <w:sz w:val="24"/>
                <w:szCs w:val="24"/>
              </w:rPr>
            </w:pPr>
          </w:p>
        </w:tc>
      </w:tr>
      <w:tr w:rsidR="004D4068" w:rsidTr="000F6EBC">
        <w:tc>
          <w:tcPr>
            <w:tcW w:w="9828" w:type="dxa"/>
            <w:gridSpan w:val="5"/>
            <w:tcBorders>
              <w:top w:val="nil"/>
            </w:tcBorders>
            <w:vAlign w:val="center"/>
          </w:tcPr>
          <w:p w:rsidR="004D4068" w:rsidRDefault="004D4068" w:rsidP="004D4068">
            <w:pPr>
              <w:pStyle w:val="ListParagraph"/>
              <w:numPr>
                <w:ilvl w:val="0"/>
                <w:numId w:val="2"/>
              </w:numPr>
              <w:ind w:left="900" w:hanging="720"/>
              <w:rPr>
                <w:rFonts w:ascii="Times New Roman" w:hAnsi="Times New Roman" w:cs="Times New Roman"/>
                <w:b/>
                <w:bCs/>
                <w:sz w:val="24"/>
                <w:szCs w:val="24"/>
              </w:rPr>
            </w:pPr>
            <w:r w:rsidRPr="009D11E9">
              <w:rPr>
                <w:rFonts w:ascii="Times New Roman" w:hAnsi="Times New Roman" w:cs="Times New Roman"/>
                <w:b/>
                <w:bCs/>
                <w:sz w:val="24"/>
                <w:szCs w:val="24"/>
              </w:rPr>
              <w:t>121.5 MHz homing</w:t>
            </w:r>
            <w:r w:rsidRPr="004D4068">
              <w:rPr>
                <w:rFonts w:ascii="Times New Roman" w:hAnsi="Times New Roman" w:cs="Times New Roman"/>
                <w:b/>
                <w:bCs/>
                <w:sz w:val="24"/>
                <w:szCs w:val="24"/>
              </w:rPr>
              <w:t xml:space="preserve"> </w:t>
            </w:r>
            <w:r w:rsidRPr="009D11E9">
              <w:rPr>
                <w:rFonts w:ascii="Times New Roman" w:hAnsi="Times New Roman" w:cs="Times New Roman"/>
                <w:b/>
                <w:bCs/>
                <w:sz w:val="24"/>
                <w:szCs w:val="24"/>
              </w:rPr>
              <w:t>transmission</w:t>
            </w:r>
          </w:p>
        </w:tc>
      </w:tr>
      <w:tr w:rsidR="004D4068" w:rsidTr="00F95800">
        <w:tc>
          <w:tcPr>
            <w:tcW w:w="1033" w:type="dxa"/>
            <w:gridSpan w:val="2"/>
            <w:tcBorders>
              <w:top w:val="nil"/>
              <w:bottom w:val="single" w:sz="4" w:space="0" w:color="auto"/>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8.1</w:t>
            </w:r>
          </w:p>
        </w:tc>
        <w:tc>
          <w:tcPr>
            <w:tcW w:w="5435" w:type="dxa"/>
            <w:tcBorders>
              <w:top w:val="nil"/>
              <w:bottom w:val="single" w:sz="4" w:space="0" w:color="auto"/>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EPIRB should be activated in its normal transmitting mode (i.e. not just self-test). Attention is drawn to section 3 on the prevention of false distress alerts. Where seawater contacts are fitted, these should be connected together, as indicated in the manufacturer maintenance instructions or servicing guidelines, to test activation of the EPIRB</w:t>
            </w:r>
          </w:p>
        </w:tc>
        <w:tc>
          <w:tcPr>
            <w:tcW w:w="2217" w:type="dxa"/>
            <w:tcBorders>
              <w:top w:val="nil"/>
              <w:bottom w:val="single" w:sz="4" w:space="0" w:color="auto"/>
            </w:tcBorders>
          </w:tcPr>
          <w:p w:rsidR="004D4068" w:rsidRPr="009B7A88" w:rsidRDefault="004D4068" w:rsidP="004D4068">
            <w:pPr>
              <w:rPr>
                <w:rFonts w:ascii="Times New Roman" w:hAnsi="Times New Roman" w:cs="Times New Roman"/>
                <w:sz w:val="24"/>
                <w:szCs w:val="24"/>
              </w:rPr>
            </w:pPr>
          </w:p>
        </w:tc>
        <w:tc>
          <w:tcPr>
            <w:tcW w:w="1143" w:type="dxa"/>
            <w:tcBorders>
              <w:top w:val="nil"/>
              <w:bottom w:val="single" w:sz="4" w:space="0" w:color="auto"/>
            </w:tcBorders>
          </w:tcPr>
          <w:p w:rsidR="004D4068" w:rsidRDefault="004D4068" w:rsidP="004D4068">
            <w:pPr>
              <w:rPr>
                <w:rFonts w:ascii="Times New Roman" w:hAnsi="Times New Roman" w:cs="Times New Roman"/>
                <w:sz w:val="24"/>
                <w:szCs w:val="24"/>
              </w:rPr>
            </w:pPr>
          </w:p>
        </w:tc>
      </w:tr>
      <w:tr w:rsidR="004D4068" w:rsidTr="00F95800">
        <w:tc>
          <w:tcPr>
            <w:tcW w:w="1033" w:type="dxa"/>
            <w:gridSpan w:val="2"/>
            <w:tcBorders>
              <w:top w:val="single" w:sz="4" w:space="0" w:color="auto"/>
              <w:left w:val="single" w:sz="4" w:space="0" w:color="auto"/>
              <w:bottom w:val="single" w:sz="4" w:space="0" w:color="auto"/>
              <w:right w:val="single" w:sz="4" w:space="0" w:color="auto"/>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8.2</w:t>
            </w:r>
          </w:p>
        </w:tc>
        <w:tc>
          <w:tcPr>
            <w:tcW w:w="5435" w:type="dxa"/>
            <w:tcBorders>
              <w:top w:val="single" w:sz="4" w:space="0" w:color="auto"/>
              <w:left w:val="single" w:sz="4" w:space="0" w:color="auto"/>
              <w:bottom w:val="single" w:sz="4" w:space="0" w:color="auto"/>
              <w:right w:val="single" w:sz="4" w:space="0" w:color="auto"/>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transmitted signal should be checked with a suitable test receiver for the characteristic swept tone modulation.</w:t>
            </w:r>
          </w:p>
        </w:tc>
        <w:tc>
          <w:tcPr>
            <w:tcW w:w="2217" w:type="dxa"/>
            <w:tcBorders>
              <w:top w:val="single" w:sz="4" w:space="0" w:color="auto"/>
              <w:left w:val="single" w:sz="4" w:space="0" w:color="auto"/>
              <w:bottom w:val="single" w:sz="4" w:space="0" w:color="auto"/>
              <w:right w:val="single" w:sz="4" w:space="0" w:color="auto"/>
            </w:tcBorders>
          </w:tcPr>
          <w:p w:rsidR="004D4068" w:rsidRPr="009B7A88" w:rsidRDefault="004D4068" w:rsidP="004D4068">
            <w:pPr>
              <w:rPr>
                <w:rFonts w:ascii="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D4068" w:rsidRDefault="004D4068" w:rsidP="004D4068">
            <w:pPr>
              <w:rPr>
                <w:rFonts w:ascii="Times New Roman" w:hAnsi="Times New Roman" w:cs="Times New Roman"/>
                <w:sz w:val="24"/>
                <w:szCs w:val="24"/>
              </w:rPr>
            </w:pPr>
          </w:p>
        </w:tc>
      </w:tr>
      <w:tr w:rsidR="004D4068" w:rsidTr="005C3A17">
        <w:trPr>
          <w:trHeight w:val="377"/>
        </w:trPr>
        <w:tc>
          <w:tcPr>
            <w:tcW w:w="9828" w:type="dxa"/>
            <w:gridSpan w:val="5"/>
            <w:tcBorders>
              <w:top w:val="single" w:sz="4" w:space="0" w:color="auto"/>
              <w:bottom w:val="single" w:sz="4" w:space="0" w:color="auto"/>
            </w:tcBorders>
            <w:vAlign w:val="center"/>
          </w:tcPr>
          <w:p w:rsidR="004D4068" w:rsidRDefault="004D4068" w:rsidP="004D4068">
            <w:pPr>
              <w:pStyle w:val="ListParagraph"/>
              <w:numPr>
                <w:ilvl w:val="0"/>
                <w:numId w:val="2"/>
              </w:numPr>
              <w:ind w:left="900" w:hanging="720"/>
              <w:rPr>
                <w:rFonts w:ascii="Times New Roman" w:hAnsi="Times New Roman" w:cs="Times New Roman"/>
                <w:b/>
                <w:bCs/>
                <w:sz w:val="24"/>
                <w:szCs w:val="24"/>
              </w:rPr>
            </w:pPr>
            <w:r w:rsidRPr="009D11E9">
              <w:rPr>
                <w:rFonts w:ascii="Times New Roman" w:hAnsi="Times New Roman" w:cs="Times New Roman"/>
                <w:b/>
                <w:bCs/>
                <w:sz w:val="24"/>
                <w:szCs w:val="24"/>
              </w:rPr>
              <w:lastRenderedPageBreak/>
              <w:t>AIS locating signal transmission</w:t>
            </w:r>
          </w:p>
        </w:tc>
      </w:tr>
      <w:tr w:rsidR="004D4068" w:rsidTr="00F95800">
        <w:tc>
          <w:tcPr>
            <w:tcW w:w="1033" w:type="dxa"/>
            <w:gridSpan w:val="2"/>
            <w:tcBorders>
              <w:top w:val="single" w:sz="4" w:space="0" w:color="auto"/>
              <w:left w:val="single" w:sz="4" w:space="0" w:color="auto"/>
              <w:bottom w:val="single" w:sz="4" w:space="0" w:color="auto"/>
              <w:right w:val="single" w:sz="4" w:space="0" w:color="auto"/>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9.1</w:t>
            </w:r>
          </w:p>
        </w:tc>
        <w:tc>
          <w:tcPr>
            <w:tcW w:w="5435" w:type="dxa"/>
            <w:tcBorders>
              <w:top w:val="single" w:sz="4" w:space="0" w:color="auto"/>
              <w:left w:val="single" w:sz="4" w:space="0" w:color="auto"/>
              <w:bottom w:val="single" w:sz="4" w:space="0" w:color="auto"/>
              <w:right w:val="single" w:sz="4" w:space="0" w:color="auto"/>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The EPIRB should be activated in its normal transmitting mode (i</w:t>
            </w:r>
            <w:r>
              <w:rPr>
                <w:rFonts w:ascii="Times New Roman" w:hAnsi="Times New Roman" w:cs="Times New Roman"/>
                <w:sz w:val="24"/>
                <w:szCs w:val="24"/>
              </w:rPr>
              <w:t>.</w:t>
            </w:r>
            <w:r w:rsidRPr="009D11E9">
              <w:rPr>
                <w:rFonts w:ascii="Times New Roman" w:hAnsi="Times New Roman" w:cs="Times New Roman"/>
                <w:sz w:val="24"/>
                <w:szCs w:val="24"/>
              </w:rPr>
              <w:t>e</w:t>
            </w:r>
            <w:r>
              <w:rPr>
                <w:rFonts w:ascii="Times New Roman" w:hAnsi="Times New Roman" w:cs="Times New Roman"/>
                <w:sz w:val="24"/>
                <w:szCs w:val="24"/>
              </w:rPr>
              <w:t>.</w:t>
            </w:r>
            <w:r w:rsidRPr="009D11E9">
              <w:rPr>
                <w:rFonts w:ascii="Times New Roman" w:hAnsi="Times New Roman" w:cs="Times New Roman"/>
                <w:sz w:val="24"/>
                <w:szCs w:val="24"/>
              </w:rPr>
              <w:t xml:space="preserve"> not just self-test). Attention is drawn to section 3 on the prevention of false distress alerts. Where seawater contacts are fitted, these should be connected together, as indicated in the manufacturer maintenance instructions or servicing guidelines, to test activation of the EPIRB</w:t>
            </w:r>
            <w:r>
              <w:rPr>
                <w:rFonts w:ascii="Times New Roman" w:hAnsi="Times New Roman" w:cs="Times New Roman"/>
                <w:sz w:val="24"/>
                <w:szCs w:val="24"/>
              </w:rPr>
              <w:t>.</w:t>
            </w:r>
          </w:p>
        </w:tc>
        <w:tc>
          <w:tcPr>
            <w:tcW w:w="2217" w:type="dxa"/>
            <w:tcBorders>
              <w:top w:val="single" w:sz="4" w:space="0" w:color="auto"/>
              <w:left w:val="single" w:sz="4" w:space="0" w:color="auto"/>
              <w:bottom w:val="single" w:sz="4" w:space="0" w:color="auto"/>
              <w:right w:val="single" w:sz="4" w:space="0" w:color="auto"/>
            </w:tcBorders>
          </w:tcPr>
          <w:p w:rsidR="004D4068" w:rsidRPr="009B7A88" w:rsidRDefault="004D4068" w:rsidP="004D4068">
            <w:pPr>
              <w:rPr>
                <w:rFonts w:ascii="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D4068" w:rsidRDefault="004D4068" w:rsidP="004D4068">
            <w:pPr>
              <w:rPr>
                <w:rFonts w:ascii="Times New Roman" w:hAnsi="Times New Roman" w:cs="Times New Roman"/>
                <w:sz w:val="24"/>
                <w:szCs w:val="24"/>
              </w:rPr>
            </w:pPr>
          </w:p>
        </w:tc>
      </w:tr>
      <w:tr w:rsidR="004D4068" w:rsidTr="00F95800">
        <w:tc>
          <w:tcPr>
            <w:tcW w:w="1033" w:type="dxa"/>
            <w:gridSpan w:val="2"/>
            <w:tcBorders>
              <w:top w:val="single" w:sz="4" w:space="0" w:color="auto"/>
            </w:tcBorders>
            <w:vAlign w:val="center"/>
          </w:tcPr>
          <w:p w:rsidR="004D4068" w:rsidRDefault="004D4068" w:rsidP="004D4068">
            <w:pPr>
              <w:jc w:val="center"/>
              <w:rPr>
                <w:rFonts w:ascii="Times New Roman" w:hAnsi="Times New Roman" w:cs="Times New Roman"/>
                <w:sz w:val="24"/>
                <w:szCs w:val="24"/>
              </w:rPr>
            </w:pPr>
            <w:r>
              <w:rPr>
                <w:rFonts w:ascii="Times New Roman" w:hAnsi="Times New Roman" w:cs="Times New Roman"/>
                <w:sz w:val="24"/>
                <w:szCs w:val="24"/>
              </w:rPr>
              <w:t>9.2</w:t>
            </w:r>
          </w:p>
        </w:tc>
        <w:tc>
          <w:tcPr>
            <w:tcW w:w="5435" w:type="dxa"/>
            <w:tcBorders>
              <w:top w:val="single" w:sz="4" w:space="0" w:color="auto"/>
            </w:tcBorders>
          </w:tcPr>
          <w:p w:rsidR="004D4068" w:rsidRPr="009B7A88" w:rsidRDefault="004D4068" w:rsidP="004D4068">
            <w:pPr>
              <w:jc w:val="both"/>
              <w:rPr>
                <w:rFonts w:ascii="Times New Roman" w:hAnsi="Times New Roman" w:cs="Times New Roman"/>
                <w:sz w:val="24"/>
                <w:szCs w:val="24"/>
              </w:rPr>
            </w:pPr>
            <w:r w:rsidRPr="009D11E9">
              <w:rPr>
                <w:rFonts w:ascii="Times New Roman" w:hAnsi="Times New Roman" w:cs="Times New Roman"/>
                <w:sz w:val="24"/>
                <w:szCs w:val="24"/>
              </w:rPr>
              <w:t>With the GNSS signal applied as described below, the transmitted signal should be checked with a suitable AIS receiver or test receiver for the proper AIS message transmission and to verify that the AIS message content is valid (contains the correct AIS identity (User ID), the correct position and the correct EPIRB 15 Hex ID). Note that for second- generation EPIRB</w:t>
            </w:r>
            <w:r>
              <w:rPr>
                <w:rFonts w:ascii="Times New Roman" w:hAnsi="Times New Roman" w:cs="Times New Roman"/>
                <w:sz w:val="24"/>
                <w:szCs w:val="24"/>
              </w:rPr>
              <w:t>s</w:t>
            </w:r>
            <w:r w:rsidRPr="009D11E9">
              <w:rPr>
                <w:rFonts w:ascii="Times New Roman" w:hAnsi="Times New Roman" w:cs="Times New Roman"/>
                <w:sz w:val="24"/>
                <w:szCs w:val="24"/>
              </w:rPr>
              <w:t>, the 15 Hex ID is formed by truncating the 23 Hex ID, as indicated in the manufacturer's maintenance instructions or servicing guidelines.</w:t>
            </w:r>
          </w:p>
        </w:tc>
        <w:tc>
          <w:tcPr>
            <w:tcW w:w="2217" w:type="dxa"/>
            <w:tcBorders>
              <w:top w:val="single" w:sz="4" w:space="0" w:color="auto"/>
            </w:tcBorders>
          </w:tcPr>
          <w:p w:rsidR="004D4068" w:rsidRPr="009B7A88" w:rsidRDefault="004D4068" w:rsidP="004D4068">
            <w:pPr>
              <w:rPr>
                <w:rFonts w:ascii="Times New Roman" w:hAnsi="Times New Roman" w:cs="Times New Roman"/>
                <w:sz w:val="24"/>
                <w:szCs w:val="24"/>
              </w:rPr>
            </w:pPr>
          </w:p>
        </w:tc>
        <w:tc>
          <w:tcPr>
            <w:tcW w:w="1143" w:type="dxa"/>
            <w:tcBorders>
              <w:top w:val="single" w:sz="4" w:space="0" w:color="auto"/>
            </w:tcBorders>
          </w:tcPr>
          <w:p w:rsidR="004D4068" w:rsidRDefault="004D4068" w:rsidP="004D4068">
            <w:pPr>
              <w:rPr>
                <w:rFonts w:ascii="Times New Roman" w:hAnsi="Times New Roman" w:cs="Times New Roman"/>
                <w:sz w:val="24"/>
                <w:szCs w:val="24"/>
              </w:rPr>
            </w:pPr>
          </w:p>
        </w:tc>
      </w:tr>
      <w:tr w:rsidR="005C3A17" w:rsidTr="00EE465F">
        <w:tc>
          <w:tcPr>
            <w:tcW w:w="9828" w:type="dxa"/>
            <w:gridSpan w:val="5"/>
            <w:tcBorders>
              <w:top w:val="nil"/>
            </w:tcBorders>
            <w:vAlign w:val="center"/>
          </w:tcPr>
          <w:p w:rsidR="005C3A17" w:rsidRDefault="005C3A17" w:rsidP="005C3A17">
            <w:pPr>
              <w:pStyle w:val="ListParagraph"/>
              <w:numPr>
                <w:ilvl w:val="0"/>
                <w:numId w:val="2"/>
              </w:numPr>
              <w:ind w:left="900" w:hanging="720"/>
              <w:rPr>
                <w:rFonts w:ascii="Times New Roman" w:hAnsi="Times New Roman" w:cs="Times New Roman"/>
                <w:b/>
                <w:bCs/>
                <w:sz w:val="24"/>
                <w:szCs w:val="24"/>
              </w:rPr>
            </w:pPr>
            <w:r w:rsidRPr="009D11E9">
              <w:rPr>
                <w:rFonts w:ascii="Times New Roman" w:hAnsi="Times New Roman" w:cs="Times New Roman"/>
                <w:b/>
                <w:bCs/>
                <w:sz w:val="24"/>
                <w:szCs w:val="24"/>
              </w:rPr>
              <w:t>Global Navigation Satellite System (GNSS)</w:t>
            </w: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10.1</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EPIRB</w:t>
            </w:r>
            <w:r>
              <w:rPr>
                <w:rFonts w:ascii="Times New Roman" w:hAnsi="Times New Roman" w:cs="Times New Roman"/>
                <w:sz w:val="24"/>
                <w:szCs w:val="24"/>
              </w:rPr>
              <w:t>s</w:t>
            </w:r>
            <w:r w:rsidRPr="009D11E9">
              <w:rPr>
                <w:rFonts w:ascii="Times New Roman" w:hAnsi="Times New Roman" w:cs="Times New Roman"/>
                <w:sz w:val="24"/>
                <w:szCs w:val="24"/>
              </w:rPr>
              <w:t xml:space="preserve"> are designed to transmit a position derived from a GNSS receiver.</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10.2</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Pr>
                <w:rFonts w:ascii="Times New Roman" w:hAnsi="Times New Roman" w:cs="Times New Roman"/>
                <w:sz w:val="24"/>
                <w:szCs w:val="24"/>
              </w:rPr>
              <w:t xml:space="preserve">The original EPIRB </w:t>
            </w:r>
            <w:r w:rsidRPr="009D11E9">
              <w:rPr>
                <w:rFonts w:ascii="Times New Roman" w:hAnsi="Times New Roman" w:cs="Times New Roman"/>
                <w:sz w:val="24"/>
                <w:szCs w:val="24"/>
              </w:rPr>
              <w:t>equipment manufacturer should be consulted for a method of testing the correct o</w:t>
            </w:r>
            <w:r>
              <w:rPr>
                <w:rFonts w:ascii="Times New Roman" w:hAnsi="Times New Roman" w:cs="Times New Roman"/>
                <w:sz w:val="24"/>
                <w:szCs w:val="24"/>
              </w:rPr>
              <w:t>peration of this function, e.g.</w:t>
            </w:r>
            <w:r w:rsidRPr="009D11E9">
              <w:rPr>
                <w:rFonts w:ascii="Times New Roman" w:hAnsi="Times New Roman" w:cs="Times New Roman"/>
                <w:sz w:val="24"/>
                <w:szCs w:val="24"/>
              </w:rPr>
              <w:t xml:space="preserve"> by using a GNSS repeater/simulator or external input. This test may involve a live transmission from the EPIRB and should be performed in a screened room or enclosure in accordance with paragraph 3.2. Attention is drawn to</w:t>
            </w:r>
            <w:r>
              <w:rPr>
                <w:rFonts w:ascii="Times New Roman" w:hAnsi="Times New Roman" w:cs="Times New Roman"/>
                <w:sz w:val="24"/>
                <w:szCs w:val="24"/>
              </w:rPr>
              <w:t xml:space="preserve"> section</w:t>
            </w:r>
            <w:r w:rsidRPr="009D11E9">
              <w:rPr>
                <w:rFonts w:ascii="Times New Roman" w:hAnsi="Times New Roman" w:cs="Times New Roman"/>
                <w:sz w:val="24"/>
                <w:szCs w:val="24"/>
              </w:rPr>
              <w:t xml:space="preserve"> 3 on the prevention of false distress alerts.</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10.3</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 xml:space="preserve">A test receiver should be used to verify that the </w:t>
            </w:r>
            <w:r>
              <w:rPr>
                <w:rFonts w:ascii="Times New Roman" w:hAnsi="Times New Roman" w:cs="Times New Roman"/>
                <w:sz w:val="24"/>
                <w:szCs w:val="24"/>
              </w:rPr>
              <w:t xml:space="preserve">satellite </w:t>
            </w:r>
            <w:r w:rsidRPr="009D11E9">
              <w:rPr>
                <w:rFonts w:ascii="Times New Roman" w:hAnsi="Times New Roman" w:cs="Times New Roman"/>
                <w:sz w:val="24"/>
                <w:szCs w:val="24"/>
              </w:rPr>
              <w:t>signal transmitted by the EPIRB contains the correctly encoded position data derived from the GNSS receiver.</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10.4</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 xml:space="preserve">If the EPIRB is a Return Link Service (RLS) capable beacon and is programmed with the RLS message protocol, testing to ensure </w:t>
            </w:r>
            <w:r>
              <w:rPr>
                <w:rFonts w:ascii="Times New Roman" w:hAnsi="Times New Roman" w:cs="Times New Roman"/>
                <w:sz w:val="24"/>
                <w:szCs w:val="24"/>
              </w:rPr>
              <w:t>proper operation should be done</w:t>
            </w:r>
            <w:r w:rsidRPr="009D11E9">
              <w:rPr>
                <w:rFonts w:ascii="Times New Roman" w:hAnsi="Times New Roman" w:cs="Times New Roman"/>
                <w:sz w:val="24"/>
                <w:szCs w:val="24"/>
              </w:rPr>
              <w:t xml:space="preserve"> as indicated in the manufacturer's maintenance instructions or servicing guidelines (and, if applicable, the RLS service provider's guidelines).</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2E1F0C">
        <w:tc>
          <w:tcPr>
            <w:tcW w:w="9828" w:type="dxa"/>
            <w:gridSpan w:val="5"/>
            <w:tcBorders>
              <w:top w:val="nil"/>
            </w:tcBorders>
            <w:vAlign w:val="center"/>
          </w:tcPr>
          <w:p w:rsidR="005C3A17" w:rsidRDefault="005C3A17" w:rsidP="005C3A17">
            <w:pPr>
              <w:pStyle w:val="ListParagraph"/>
              <w:numPr>
                <w:ilvl w:val="0"/>
                <w:numId w:val="2"/>
              </w:numPr>
              <w:ind w:left="900" w:hanging="720"/>
              <w:rPr>
                <w:rFonts w:ascii="Times New Roman" w:hAnsi="Times New Roman" w:cs="Times New Roman"/>
                <w:b/>
                <w:bCs/>
                <w:sz w:val="24"/>
                <w:szCs w:val="24"/>
              </w:rPr>
            </w:pPr>
            <w:r w:rsidRPr="009D11E9">
              <w:rPr>
                <w:rFonts w:ascii="Times New Roman" w:hAnsi="Times New Roman" w:cs="Times New Roman"/>
                <w:b/>
                <w:bCs/>
                <w:sz w:val="24"/>
                <w:szCs w:val="24"/>
              </w:rPr>
              <w:t>Waterproof integrity</w:t>
            </w:r>
          </w:p>
        </w:tc>
      </w:tr>
      <w:tr w:rsidR="005C3A17" w:rsidTr="00F95800">
        <w:tc>
          <w:tcPr>
            <w:tcW w:w="1033" w:type="dxa"/>
            <w:gridSpan w:val="2"/>
            <w:tcBorders>
              <w:top w:val="nil"/>
              <w:bottom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11.1</w:t>
            </w:r>
          </w:p>
        </w:tc>
        <w:tc>
          <w:tcPr>
            <w:tcW w:w="5435" w:type="dxa"/>
            <w:tcBorders>
              <w:top w:val="nil"/>
              <w:bottom w:val="single" w:sz="4" w:space="0" w:color="auto"/>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The EPIRB should be inspected for any signs of damage or cracks to the casing, or of water ingress. Any damaged item should be replaced, as indicated in the manufacturer's maintenance instructions or servicing guidelines.</w:t>
            </w:r>
          </w:p>
        </w:tc>
        <w:tc>
          <w:tcPr>
            <w:tcW w:w="2217" w:type="dxa"/>
            <w:tcBorders>
              <w:top w:val="nil"/>
              <w:bottom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nil"/>
              <w:bottom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single" w:sz="4" w:space="0" w:color="auto"/>
              <w:left w:val="single" w:sz="4" w:space="0" w:color="auto"/>
              <w:bottom w:val="single" w:sz="4" w:space="0" w:color="auto"/>
              <w:right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11.2</w:t>
            </w:r>
          </w:p>
        </w:tc>
        <w:tc>
          <w:tcPr>
            <w:tcW w:w="5435" w:type="dxa"/>
            <w:tcBorders>
              <w:top w:val="single" w:sz="4" w:space="0" w:color="auto"/>
              <w:left w:val="single" w:sz="4" w:space="0" w:color="auto"/>
              <w:bottom w:val="single" w:sz="4" w:space="0" w:color="auto"/>
              <w:right w:val="single" w:sz="4" w:space="0" w:color="auto"/>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 xml:space="preserve">The EPIRB should be tested for waterproof integrity at the end of the SBM and prior to a final self-test to verify proper operation, as indicated in the manufacturer's maintenance instructions or servicing guidelines. The equipment manufacturer may suggest </w:t>
            </w:r>
            <w:r w:rsidRPr="009D11E9">
              <w:rPr>
                <w:rFonts w:ascii="Times New Roman" w:hAnsi="Times New Roman" w:cs="Times New Roman"/>
                <w:sz w:val="24"/>
                <w:szCs w:val="24"/>
              </w:rPr>
              <w:lastRenderedPageBreak/>
              <w:t>an appropriate method to test the integrity of the EPIRB.</w:t>
            </w:r>
          </w:p>
        </w:tc>
        <w:tc>
          <w:tcPr>
            <w:tcW w:w="2217" w:type="dxa"/>
            <w:tcBorders>
              <w:top w:val="single" w:sz="4" w:space="0" w:color="auto"/>
              <w:left w:val="single" w:sz="4" w:space="0" w:color="auto"/>
              <w:bottom w:val="single" w:sz="4" w:space="0" w:color="auto"/>
              <w:right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5435" w:type="dxa"/>
            <w:tcBorders>
              <w:top w:val="single" w:sz="4" w:space="0" w:color="auto"/>
            </w:tcBorders>
          </w:tcPr>
          <w:p w:rsidR="005C3A17" w:rsidRPr="009B7A88" w:rsidRDefault="005C3A17" w:rsidP="005C3A17">
            <w:pPr>
              <w:jc w:val="both"/>
              <w:rPr>
                <w:rFonts w:ascii="Times New Roman" w:hAnsi="Times New Roman" w:cs="Times New Roman"/>
                <w:sz w:val="24"/>
                <w:szCs w:val="24"/>
              </w:rPr>
            </w:pPr>
            <w:r w:rsidRPr="009D11E9">
              <w:rPr>
                <w:rFonts w:ascii="Times New Roman" w:hAnsi="Times New Roman" w:cs="Times New Roman"/>
                <w:sz w:val="24"/>
                <w:szCs w:val="24"/>
              </w:rPr>
              <w:t>One method involves immersing the equipment in hot water (20-30</w:t>
            </w:r>
            <w:r w:rsidRPr="00226B58">
              <w:rPr>
                <w:rFonts w:ascii="Times New Roman" w:hAnsi="Times New Roman" w:cs="Times New Roman"/>
                <w:sz w:val="24"/>
                <w:szCs w:val="24"/>
                <w:vertAlign w:val="superscript"/>
              </w:rPr>
              <w:t>0</w:t>
            </w:r>
            <w:r w:rsidRPr="009D11E9">
              <w:rPr>
                <w:rFonts w:ascii="Times New Roman" w:hAnsi="Times New Roman" w:cs="Times New Roman"/>
                <w:sz w:val="24"/>
                <w:szCs w:val="24"/>
              </w:rPr>
              <w:t xml:space="preserve"> C above ambient) for a period of </w:t>
            </w:r>
            <w:r>
              <w:rPr>
                <w:rFonts w:ascii="Times New Roman" w:hAnsi="Times New Roman" w:cs="Times New Roman"/>
                <w:sz w:val="24"/>
                <w:szCs w:val="24"/>
              </w:rPr>
              <w:t>at least one</w:t>
            </w:r>
            <w:r w:rsidRPr="009D11E9">
              <w:rPr>
                <w:rFonts w:ascii="Times New Roman" w:hAnsi="Times New Roman" w:cs="Times New Roman"/>
                <w:sz w:val="24"/>
                <w:szCs w:val="24"/>
              </w:rPr>
              <w:t xml:space="preserve"> min</w:t>
            </w:r>
            <w:r>
              <w:rPr>
                <w:rFonts w:ascii="Times New Roman" w:hAnsi="Times New Roman" w:cs="Times New Roman"/>
                <w:sz w:val="24"/>
                <w:szCs w:val="24"/>
              </w:rPr>
              <w:t>ute</w:t>
            </w:r>
            <w:r w:rsidRPr="009D11E9">
              <w:rPr>
                <w:rFonts w:ascii="Times New Roman" w:hAnsi="Times New Roman" w:cs="Times New Roman"/>
                <w:sz w:val="24"/>
                <w:szCs w:val="24"/>
              </w:rPr>
              <w:t>. It can be readily seen if there are any problems with the seals, as the air inside the beacon expands and escapes as a stream of bubbles. This test should not be carried out with cool water, as the water may be drawn into the equipment without showing significant release of air bubbles.</w:t>
            </w:r>
          </w:p>
        </w:tc>
        <w:tc>
          <w:tcPr>
            <w:tcW w:w="2217" w:type="dxa"/>
            <w:tcBorders>
              <w:top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11.4</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EPIRB</w:t>
            </w:r>
            <w:r>
              <w:rPr>
                <w:rFonts w:ascii="Times New Roman" w:hAnsi="Times New Roman" w:cs="Times New Roman"/>
                <w:sz w:val="24"/>
                <w:szCs w:val="24"/>
              </w:rPr>
              <w:t>s</w:t>
            </w:r>
            <w:r w:rsidRPr="0029356B">
              <w:rPr>
                <w:rFonts w:ascii="Times New Roman" w:hAnsi="Times New Roman" w:cs="Times New Roman"/>
                <w:sz w:val="24"/>
                <w:szCs w:val="24"/>
              </w:rPr>
              <w:t xml:space="preserve"> equipped with seawater switches should have this function disabled during the immersion test to prevent activation, unless the complete test is performed inside a screened room. This disabling may be achieved by immersing the EPIRB complete with a mounting bracket if the bracket includes an interlock to prevent activation before release. The manufacturer should be consulted for specific guidance.</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7A5994">
        <w:tc>
          <w:tcPr>
            <w:tcW w:w="9828" w:type="dxa"/>
            <w:gridSpan w:val="5"/>
            <w:tcBorders>
              <w:top w:val="nil"/>
            </w:tcBorders>
            <w:vAlign w:val="center"/>
          </w:tcPr>
          <w:p w:rsidR="005C3A17" w:rsidRDefault="005C3A17" w:rsidP="005C3A17">
            <w:pPr>
              <w:pStyle w:val="ListParagraph"/>
              <w:numPr>
                <w:ilvl w:val="0"/>
                <w:numId w:val="2"/>
              </w:numPr>
              <w:ind w:left="900" w:hanging="720"/>
              <w:rPr>
                <w:rFonts w:ascii="Times New Roman" w:hAnsi="Times New Roman" w:cs="Times New Roman"/>
                <w:b/>
                <w:bCs/>
                <w:sz w:val="24"/>
                <w:szCs w:val="24"/>
              </w:rPr>
            </w:pPr>
            <w:r w:rsidRPr="0029356B">
              <w:rPr>
                <w:rFonts w:ascii="Times New Roman" w:hAnsi="Times New Roman" w:cs="Times New Roman"/>
                <w:b/>
                <w:bCs/>
                <w:sz w:val="24"/>
                <w:szCs w:val="24"/>
              </w:rPr>
              <w:t>Labe</w:t>
            </w:r>
            <w:r w:rsidR="00105F88">
              <w:rPr>
                <w:rFonts w:ascii="Times New Roman" w:hAnsi="Times New Roman" w:cs="Times New Roman"/>
                <w:b/>
                <w:bCs/>
                <w:sz w:val="24"/>
                <w:szCs w:val="24"/>
              </w:rPr>
              <w:t>l</w:t>
            </w:r>
            <w:r w:rsidRPr="0029356B">
              <w:rPr>
                <w:rFonts w:ascii="Times New Roman" w:hAnsi="Times New Roman" w:cs="Times New Roman"/>
                <w:b/>
                <w:bCs/>
                <w:sz w:val="24"/>
                <w:szCs w:val="24"/>
              </w:rPr>
              <w:t>ling</w:t>
            </w: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w:t>
            </w:r>
          </w:p>
        </w:tc>
        <w:tc>
          <w:tcPr>
            <w:tcW w:w="5435" w:type="dxa"/>
            <w:tcBorders>
              <w:top w:val="nil"/>
            </w:tcBorders>
          </w:tcPr>
          <w:p w:rsidR="005C3A17" w:rsidRPr="009B7A88"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As a minimum, the equipment external labelling should be checked for the following details</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12.1.1</w:t>
            </w:r>
          </w:p>
        </w:tc>
        <w:tc>
          <w:tcPr>
            <w:tcW w:w="5435" w:type="dxa"/>
            <w:tcBorders>
              <w:top w:val="nil"/>
            </w:tcBorders>
          </w:tcPr>
          <w:p w:rsidR="005C3A17" w:rsidRPr="009B7A88" w:rsidRDefault="00105F88" w:rsidP="005C3A17">
            <w:pPr>
              <w:jc w:val="both"/>
              <w:rPr>
                <w:rFonts w:ascii="Times New Roman" w:hAnsi="Times New Roman" w:cs="Times New Roman"/>
                <w:sz w:val="24"/>
                <w:szCs w:val="24"/>
              </w:rPr>
            </w:pPr>
            <w:r>
              <w:rPr>
                <w:rFonts w:ascii="Times New Roman" w:hAnsi="Times New Roman" w:cs="Times New Roman"/>
                <w:sz w:val="24"/>
                <w:szCs w:val="24"/>
              </w:rPr>
              <w:t>Manufacturer's serial number; t</w:t>
            </w:r>
            <w:r w:rsidR="005C3A17" w:rsidRPr="0029356B">
              <w:rPr>
                <w:rFonts w:ascii="Times New Roman" w:hAnsi="Times New Roman" w:cs="Times New Roman"/>
                <w:sz w:val="24"/>
                <w:szCs w:val="24"/>
              </w:rPr>
              <w:t>his identifies the equipment, even if the programmed data (e.g. MMSI or Call sign) is later changed.</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12.1.2</w:t>
            </w:r>
          </w:p>
          <w:p w:rsidR="005C3A17" w:rsidRDefault="005C3A17" w:rsidP="005C3A17">
            <w:pPr>
              <w:jc w:val="center"/>
              <w:rPr>
                <w:rFonts w:ascii="Times New Roman" w:hAnsi="Times New Roman" w:cs="Times New Roman"/>
                <w:sz w:val="24"/>
                <w:szCs w:val="24"/>
              </w:rPr>
            </w:pPr>
          </w:p>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12.1.2.1</w:t>
            </w:r>
          </w:p>
        </w:tc>
        <w:tc>
          <w:tcPr>
            <w:tcW w:w="5435" w:type="dxa"/>
            <w:tcBorders>
              <w:top w:val="nil"/>
            </w:tcBorders>
          </w:tcPr>
          <w:p w:rsidR="005C3A17"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The transmitted identification code:</w:t>
            </w:r>
          </w:p>
          <w:p w:rsidR="005C3A17" w:rsidRDefault="005C3A17" w:rsidP="005C3A17">
            <w:pPr>
              <w:jc w:val="both"/>
              <w:rPr>
                <w:rFonts w:ascii="Times New Roman" w:hAnsi="Times New Roman" w:cs="Times New Roman"/>
                <w:sz w:val="24"/>
                <w:szCs w:val="24"/>
              </w:rPr>
            </w:pPr>
          </w:p>
          <w:p w:rsidR="005C3A17" w:rsidRPr="009B7A88" w:rsidRDefault="00105F88" w:rsidP="005C3A17">
            <w:pPr>
              <w:jc w:val="both"/>
              <w:rPr>
                <w:rFonts w:ascii="Times New Roman" w:hAnsi="Times New Roman" w:cs="Times New Roman"/>
                <w:sz w:val="24"/>
                <w:szCs w:val="24"/>
              </w:rPr>
            </w:pPr>
            <w:r>
              <w:rPr>
                <w:rFonts w:ascii="Times New Roman" w:hAnsi="Times New Roman" w:cs="Times New Roman"/>
                <w:sz w:val="24"/>
                <w:szCs w:val="24"/>
              </w:rPr>
              <w:t>f</w:t>
            </w:r>
            <w:r w:rsidR="005C3A17" w:rsidRPr="0029356B">
              <w:rPr>
                <w:rFonts w:ascii="Times New Roman" w:hAnsi="Times New Roman" w:cs="Times New Roman"/>
                <w:sz w:val="24"/>
                <w:szCs w:val="24"/>
              </w:rPr>
              <w:t>or first-generation EPIRB</w:t>
            </w:r>
            <w:r w:rsidR="005C3A17">
              <w:rPr>
                <w:rFonts w:ascii="Times New Roman" w:hAnsi="Times New Roman" w:cs="Times New Roman"/>
                <w:sz w:val="24"/>
                <w:szCs w:val="24"/>
              </w:rPr>
              <w:t>s</w:t>
            </w:r>
            <w:r w:rsidR="005C3A17" w:rsidRPr="0029356B">
              <w:rPr>
                <w:rFonts w:ascii="Times New Roman" w:hAnsi="Times New Roman" w:cs="Times New Roman"/>
                <w:sz w:val="24"/>
                <w:szCs w:val="24"/>
              </w:rPr>
              <w:t xml:space="preserve"> compliant with document C/S T.001, this will be the beacon 15 Hexadecimal Identification (15 Hex ID) and other encoded identification information (MMSI/call sign) as required by the Administration. It should be verified that the label matches the information decoded from the self-test mode transmission using the test receiver. For the Cospas-Sarsat location protocol beacons, the 15 Hex ID should correspond to position data set to default values;</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bottom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12.1.2.2</w:t>
            </w:r>
          </w:p>
        </w:tc>
        <w:tc>
          <w:tcPr>
            <w:tcW w:w="5435" w:type="dxa"/>
            <w:tcBorders>
              <w:top w:val="nil"/>
              <w:bottom w:val="single" w:sz="4" w:space="0" w:color="auto"/>
            </w:tcBorders>
          </w:tcPr>
          <w:p w:rsidR="005C3A17" w:rsidRPr="009B7A88" w:rsidRDefault="00105F88" w:rsidP="005C3A17">
            <w:pPr>
              <w:jc w:val="both"/>
              <w:rPr>
                <w:rFonts w:ascii="Times New Roman" w:hAnsi="Times New Roman" w:cs="Times New Roman"/>
                <w:sz w:val="24"/>
                <w:szCs w:val="24"/>
              </w:rPr>
            </w:pPr>
            <w:r>
              <w:rPr>
                <w:rFonts w:ascii="Times New Roman" w:hAnsi="Times New Roman" w:cs="Times New Roman"/>
                <w:sz w:val="24"/>
                <w:szCs w:val="24"/>
              </w:rPr>
              <w:t>f</w:t>
            </w:r>
            <w:r w:rsidR="005C3A17">
              <w:rPr>
                <w:rFonts w:ascii="Times New Roman" w:hAnsi="Times New Roman" w:cs="Times New Roman"/>
                <w:sz w:val="24"/>
                <w:szCs w:val="24"/>
              </w:rPr>
              <w:t>or second-generation EPIRBs</w:t>
            </w:r>
            <w:r w:rsidR="005C3A17" w:rsidRPr="0029356B">
              <w:rPr>
                <w:rFonts w:ascii="Times New Roman" w:hAnsi="Times New Roman" w:cs="Times New Roman"/>
                <w:sz w:val="24"/>
                <w:szCs w:val="24"/>
              </w:rPr>
              <w:t xml:space="preserve"> compliant with document C/S T.018, this will be the beacon 23 Hexadecimal Identification (23 Hex ID) and other encoded identification information (MMSI/call sign) as required by the Administration. It should be verified that the label matches the information decoded from the self-test mode transmission using the test receiver. For the Cospas-Sarsat location protocol beacons, the 23 Hex ID should correspond to position data set to default values; and</w:t>
            </w:r>
          </w:p>
        </w:tc>
        <w:tc>
          <w:tcPr>
            <w:tcW w:w="2217" w:type="dxa"/>
            <w:tcBorders>
              <w:top w:val="nil"/>
              <w:bottom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nil"/>
              <w:bottom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single" w:sz="4" w:space="0" w:color="auto"/>
              <w:left w:val="single" w:sz="4" w:space="0" w:color="auto"/>
              <w:bottom w:val="single" w:sz="4" w:space="0" w:color="auto"/>
              <w:right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12.1.2.3</w:t>
            </w:r>
          </w:p>
        </w:tc>
        <w:tc>
          <w:tcPr>
            <w:tcW w:w="5435" w:type="dxa"/>
            <w:tcBorders>
              <w:top w:val="single" w:sz="4" w:space="0" w:color="auto"/>
              <w:left w:val="single" w:sz="4" w:space="0" w:color="auto"/>
              <w:bottom w:val="single" w:sz="4" w:space="0" w:color="auto"/>
              <w:right w:val="single" w:sz="4" w:space="0" w:color="auto"/>
            </w:tcBorders>
          </w:tcPr>
          <w:p w:rsidR="005C3A17" w:rsidRPr="009B7A88" w:rsidRDefault="005C3A17" w:rsidP="005C3A17">
            <w:pPr>
              <w:jc w:val="both"/>
              <w:rPr>
                <w:rFonts w:ascii="Times New Roman" w:hAnsi="Times New Roman" w:cs="Times New Roman"/>
                <w:sz w:val="24"/>
                <w:szCs w:val="24"/>
              </w:rPr>
            </w:pPr>
            <w:r>
              <w:rPr>
                <w:rFonts w:ascii="Times New Roman" w:hAnsi="Times New Roman" w:cs="Times New Roman"/>
                <w:sz w:val="24"/>
                <w:szCs w:val="24"/>
              </w:rPr>
              <w:t>T</w:t>
            </w:r>
            <w:r w:rsidRPr="0029356B">
              <w:rPr>
                <w:rFonts w:ascii="Times New Roman" w:hAnsi="Times New Roman" w:cs="Times New Roman"/>
                <w:sz w:val="24"/>
                <w:szCs w:val="24"/>
              </w:rPr>
              <w:t xml:space="preserve">he EPIRB AIS identity (User ID), which will be in the format 974XXYYYY. It should be verified that the label matches the information decoded from the AIS </w:t>
            </w:r>
            <w:r w:rsidRPr="0029356B">
              <w:rPr>
                <w:rFonts w:ascii="Times New Roman" w:hAnsi="Times New Roman" w:cs="Times New Roman"/>
                <w:sz w:val="24"/>
                <w:szCs w:val="24"/>
              </w:rPr>
              <w:lastRenderedPageBreak/>
              <w:t>self-test mode transmission using a suitable AIS receiver or test receiver.</w:t>
            </w:r>
          </w:p>
        </w:tc>
        <w:tc>
          <w:tcPr>
            <w:tcW w:w="2217" w:type="dxa"/>
            <w:tcBorders>
              <w:top w:val="single" w:sz="4" w:space="0" w:color="auto"/>
              <w:left w:val="single" w:sz="4" w:space="0" w:color="auto"/>
              <w:bottom w:val="single" w:sz="4" w:space="0" w:color="auto"/>
              <w:right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single" w:sz="4" w:space="0" w:color="auto"/>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lastRenderedPageBreak/>
              <w:t>12.1.3</w:t>
            </w:r>
          </w:p>
        </w:tc>
        <w:tc>
          <w:tcPr>
            <w:tcW w:w="5435" w:type="dxa"/>
            <w:tcBorders>
              <w:top w:val="single" w:sz="4" w:space="0" w:color="auto"/>
            </w:tcBorders>
          </w:tcPr>
          <w:p w:rsidR="005C3A17" w:rsidRDefault="00EA6266" w:rsidP="005C3A17">
            <w:pPr>
              <w:jc w:val="both"/>
              <w:rPr>
                <w:rFonts w:ascii="Times New Roman" w:hAnsi="Times New Roman" w:cs="Times New Roman"/>
                <w:sz w:val="24"/>
                <w:szCs w:val="24"/>
              </w:rPr>
            </w:pPr>
            <w:r>
              <w:rPr>
                <w:rFonts w:ascii="Times New Roman" w:hAnsi="Times New Roman" w:cs="Times New Roman"/>
                <w:sz w:val="24"/>
                <w:szCs w:val="24"/>
              </w:rPr>
              <w:t>t</w:t>
            </w:r>
            <w:r w:rsidR="005C3A17">
              <w:rPr>
                <w:rFonts w:ascii="Times New Roman" w:hAnsi="Times New Roman" w:cs="Times New Roman"/>
                <w:sz w:val="24"/>
                <w:szCs w:val="24"/>
              </w:rPr>
              <w:t>he expiry</w:t>
            </w:r>
            <w:r>
              <w:rPr>
                <w:rFonts w:ascii="Times New Roman" w:hAnsi="Times New Roman" w:cs="Times New Roman"/>
                <w:sz w:val="24"/>
                <w:szCs w:val="24"/>
              </w:rPr>
              <w:t xml:space="preserve"> date of the battery; and</w:t>
            </w:r>
          </w:p>
        </w:tc>
        <w:tc>
          <w:tcPr>
            <w:tcW w:w="2217" w:type="dxa"/>
            <w:tcBorders>
              <w:top w:val="single" w:sz="4" w:space="0" w:color="auto"/>
            </w:tcBorders>
          </w:tcPr>
          <w:p w:rsidR="005C3A17" w:rsidRPr="009B7A88" w:rsidRDefault="005C3A17" w:rsidP="005C3A17">
            <w:pPr>
              <w:rPr>
                <w:rFonts w:ascii="Times New Roman" w:hAnsi="Times New Roman" w:cs="Times New Roman"/>
                <w:sz w:val="24"/>
                <w:szCs w:val="24"/>
              </w:rPr>
            </w:pPr>
          </w:p>
        </w:tc>
        <w:tc>
          <w:tcPr>
            <w:tcW w:w="1143" w:type="dxa"/>
            <w:tcBorders>
              <w:top w:val="single" w:sz="4" w:space="0" w:color="auto"/>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12.1.4</w:t>
            </w:r>
          </w:p>
        </w:tc>
        <w:tc>
          <w:tcPr>
            <w:tcW w:w="5435" w:type="dxa"/>
            <w:tcBorders>
              <w:top w:val="nil"/>
            </w:tcBorders>
          </w:tcPr>
          <w:p w:rsidR="005C3A17" w:rsidRDefault="00EA6266" w:rsidP="005C3A17">
            <w:pPr>
              <w:jc w:val="both"/>
              <w:rPr>
                <w:rFonts w:ascii="Times New Roman" w:hAnsi="Times New Roman" w:cs="Times New Roman"/>
                <w:sz w:val="24"/>
                <w:szCs w:val="24"/>
              </w:rPr>
            </w:pPr>
            <w:r>
              <w:rPr>
                <w:rFonts w:ascii="Times New Roman" w:hAnsi="Times New Roman" w:cs="Times New Roman"/>
                <w:sz w:val="24"/>
                <w:szCs w:val="24"/>
              </w:rPr>
              <w:t>t</w:t>
            </w:r>
            <w:r w:rsidR="005C3A17" w:rsidRPr="0029356B">
              <w:rPr>
                <w:rFonts w:ascii="Times New Roman" w:hAnsi="Times New Roman" w:cs="Times New Roman"/>
                <w:sz w:val="24"/>
                <w:szCs w:val="24"/>
              </w:rPr>
              <w:t>he date when the next shore-based maintenance is due (see paragraph 1</w:t>
            </w:r>
            <w:r w:rsidR="005C3A17">
              <w:rPr>
                <w:rFonts w:ascii="Times New Roman" w:hAnsi="Times New Roman" w:cs="Times New Roman"/>
                <w:sz w:val="24"/>
                <w:szCs w:val="24"/>
              </w:rPr>
              <w:t>3</w:t>
            </w:r>
            <w:r w:rsidR="005C3A17" w:rsidRPr="0029356B">
              <w:rPr>
                <w:rFonts w:ascii="Times New Roman" w:hAnsi="Times New Roman" w:cs="Times New Roman"/>
                <w:sz w:val="24"/>
                <w:szCs w:val="24"/>
              </w:rPr>
              <w:t>.1).</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12.2</w:t>
            </w:r>
          </w:p>
        </w:tc>
        <w:tc>
          <w:tcPr>
            <w:tcW w:w="5435" w:type="dxa"/>
            <w:tcBorders>
              <w:top w:val="nil"/>
            </w:tcBorders>
          </w:tcPr>
          <w:p w:rsidR="005C3A17"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The above checks also apply if a replacement EPIRB is provided by the</w:t>
            </w:r>
            <w:r>
              <w:rPr>
                <w:rFonts w:ascii="Times New Roman" w:hAnsi="Times New Roman" w:cs="Times New Roman"/>
                <w:sz w:val="24"/>
                <w:szCs w:val="24"/>
              </w:rPr>
              <w:t xml:space="preserve"> </w:t>
            </w:r>
            <w:r w:rsidRPr="0029356B">
              <w:rPr>
                <w:rFonts w:ascii="Times New Roman" w:hAnsi="Times New Roman" w:cs="Times New Roman"/>
                <w:sz w:val="24"/>
                <w:szCs w:val="24"/>
              </w:rPr>
              <w:t>SBM provider</w:t>
            </w:r>
            <w:r>
              <w:rPr>
                <w:rFonts w:ascii="Times New Roman" w:hAnsi="Times New Roman" w:cs="Times New Roman"/>
                <w:sz w:val="24"/>
                <w:szCs w:val="24"/>
              </w:rPr>
              <w:t>.</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E96AD2">
        <w:tc>
          <w:tcPr>
            <w:tcW w:w="9828" w:type="dxa"/>
            <w:gridSpan w:val="5"/>
            <w:tcBorders>
              <w:top w:val="nil"/>
            </w:tcBorders>
            <w:vAlign w:val="center"/>
          </w:tcPr>
          <w:p w:rsidR="005C3A17" w:rsidRDefault="005C3A17" w:rsidP="005C3A17">
            <w:pPr>
              <w:pStyle w:val="ListParagraph"/>
              <w:numPr>
                <w:ilvl w:val="0"/>
                <w:numId w:val="2"/>
              </w:numPr>
              <w:ind w:left="900" w:hanging="720"/>
              <w:rPr>
                <w:rFonts w:ascii="Times New Roman" w:hAnsi="Times New Roman" w:cs="Times New Roman"/>
                <w:sz w:val="24"/>
                <w:szCs w:val="24"/>
              </w:rPr>
            </w:pPr>
            <w:r w:rsidRPr="0029356B">
              <w:rPr>
                <w:rFonts w:ascii="Times New Roman" w:hAnsi="Times New Roman" w:cs="Times New Roman"/>
                <w:b/>
                <w:bCs/>
                <w:sz w:val="24"/>
                <w:szCs w:val="24"/>
              </w:rPr>
              <w:t>Shore-based maintenance report and other documentation</w:t>
            </w: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13.1</w:t>
            </w:r>
          </w:p>
        </w:tc>
        <w:tc>
          <w:tcPr>
            <w:tcW w:w="5435" w:type="dxa"/>
            <w:tcBorders>
              <w:top w:val="nil"/>
            </w:tcBorders>
          </w:tcPr>
          <w:p w:rsidR="005C3A17" w:rsidRPr="0029356B"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The results of shore-based maintenance should be provided in the form of a shore-based maintenance report, a copy of which is to be kept on board, and a label affixed to the exterior of the beacon detailing the name of the SBM provider and the date when the next</w:t>
            </w:r>
            <w:r w:rsidR="00EA6266">
              <w:rPr>
                <w:rFonts w:ascii="Times New Roman" w:hAnsi="Times New Roman" w:cs="Times New Roman"/>
                <w:sz w:val="24"/>
                <w:szCs w:val="24"/>
              </w:rPr>
              <w:t xml:space="preserve"> shore-based maintenance is due.</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13.2</w:t>
            </w:r>
          </w:p>
        </w:tc>
        <w:tc>
          <w:tcPr>
            <w:tcW w:w="5435" w:type="dxa"/>
            <w:tcBorders>
              <w:top w:val="nil"/>
            </w:tcBorders>
          </w:tcPr>
          <w:p w:rsidR="005C3A17" w:rsidRPr="0029356B" w:rsidRDefault="005C3A17" w:rsidP="005C3A17">
            <w:pPr>
              <w:rPr>
                <w:rFonts w:ascii="Times New Roman" w:eastAsia="Times New Roman" w:hAnsi="Times New Roman" w:cs="Times New Roman"/>
                <w:sz w:val="24"/>
                <w:szCs w:val="24"/>
                <w:lang w:bidi="hi-IN"/>
              </w:rPr>
            </w:pPr>
            <w:r w:rsidRPr="0029356B">
              <w:rPr>
                <w:rFonts w:ascii="Times New Roman" w:eastAsia="Times New Roman" w:hAnsi="Times New Roman" w:cs="Times New Roman"/>
                <w:sz w:val="24"/>
                <w:szCs w:val="24"/>
                <w:lang w:bidi="hi-IN"/>
              </w:rPr>
              <w:t>The SBM provider may affix a tamper</w:t>
            </w:r>
            <w:r>
              <w:rPr>
                <w:rFonts w:ascii="Times New Roman" w:eastAsia="Times New Roman" w:hAnsi="Times New Roman" w:cs="Times New Roman"/>
                <w:sz w:val="24"/>
                <w:szCs w:val="24"/>
                <w:lang w:bidi="hi-IN"/>
              </w:rPr>
              <w:t xml:space="preserve">-proof </w:t>
            </w:r>
            <w:r w:rsidRPr="0029356B">
              <w:rPr>
                <w:rFonts w:ascii="Times New Roman" w:eastAsia="Times New Roman" w:hAnsi="Times New Roman" w:cs="Times New Roman"/>
                <w:sz w:val="24"/>
                <w:szCs w:val="24"/>
                <w:lang w:bidi="hi-IN"/>
              </w:rPr>
              <w:t>seal or similar device on completion of the SBM.</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r w:rsidR="005C3A17" w:rsidTr="00F95800">
        <w:tc>
          <w:tcPr>
            <w:tcW w:w="1033" w:type="dxa"/>
            <w:gridSpan w:val="2"/>
            <w:tcBorders>
              <w:top w:val="nil"/>
            </w:tcBorders>
            <w:vAlign w:val="center"/>
          </w:tcPr>
          <w:p w:rsidR="005C3A17" w:rsidRDefault="005C3A17" w:rsidP="005C3A17">
            <w:pPr>
              <w:jc w:val="center"/>
              <w:rPr>
                <w:rFonts w:ascii="Times New Roman" w:hAnsi="Times New Roman" w:cs="Times New Roman"/>
                <w:sz w:val="24"/>
                <w:szCs w:val="24"/>
              </w:rPr>
            </w:pPr>
            <w:r>
              <w:rPr>
                <w:rFonts w:ascii="Times New Roman" w:hAnsi="Times New Roman" w:cs="Times New Roman"/>
                <w:sz w:val="24"/>
                <w:szCs w:val="24"/>
              </w:rPr>
              <w:t>13.3</w:t>
            </w:r>
          </w:p>
        </w:tc>
        <w:tc>
          <w:tcPr>
            <w:tcW w:w="5435" w:type="dxa"/>
            <w:tcBorders>
              <w:top w:val="nil"/>
            </w:tcBorders>
          </w:tcPr>
          <w:p w:rsidR="005C3A17" w:rsidRPr="0029356B" w:rsidRDefault="005C3A17" w:rsidP="005C3A17">
            <w:pPr>
              <w:jc w:val="both"/>
              <w:rPr>
                <w:rFonts w:ascii="Times New Roman" w:hAnsi="Times New Roman" w:cs="Times New Roman"/>
                <w:sz w:val="24"/>
                <w:szCs w:val="24"/>
              </w:rPr>
            </w:pPr>
            <w:r w:rsidRPr="0029356B">
              <w:rPr>
                <w:rFonts w:ascii="Times New Roman" w:hAnsi="Times New Roman" w:cs="Times New Roman"/>
                <w:sz w:val="24"/>
                <w:szCs w:val="24"/>
              </w:rPr>
              <w:t>Before returning the beacon to the owner, or when providing a replacement beacon, the SBM provider should check the registration details with the beacon registry, where practicable.</w:t>
            </w:r>
          </w:p>
        </w:tc>
        <w:tc>
          <w:tcPr>
            <w:tcW w:w="2217" w:type="dxa"/>
            <w:tcBorders>
              <w:top w:val="nil"/>
            </w:tcBorders>
          </w:tcPr>
          <w:p w:rsidR="005C3A17" w:rsidRPr="009B7A88" w:rsidRDefault="005C3A17" w:rsidP="005C3A17">
            <w:pPr>
              <w:rPr>
                <w:rFonts w:ascii="Times New Roman" w:hAnsi="Times New Roman" w:cs="Times New Roman"/>
                <w:sz w:val="24"/>
                <w:szCs w:val="24"/>
              </w:rPr>
            </w:pPr>
          </w:p>
        </w:tc>
        <w:tc>
          <w:tcPr>
            <w:tcW w:w="1143" w:type="dxa"/>
            <w:tcBorders>
              <w:top w:val="nil"/>
            </w:tcBorders>
          </w:tcPr>
          <w:p w:rsidR="005C3A17" w:rsidRDefault="005C3A17" w:rsidP="005C3A17">
            <w:pPr>
              <w:rPr>
                <w:rFonts w:ascii="Times New Roman" w:hAnsi="Times New Roman" w:cs="Times New Roman"/>
                <w:sz w:val="24"/>
                <w:szCs w:val="24"/>
              </w:rPr>
            </w:pPr>
          </w:p>
        </w:tc>
      </w:tr>
    </w:tbl>
    <w:p w:rsidR="000D1A4E" w:rsidRPr="000D1A4E" w:rsidRDefault="000D1A4E" w:rsidP="000D1A4E">
      <w:pPr>
        <w:jc w:val="center"/>
        <w:rPr>
          <w:rFonts w:ascii="Times New Roman" w:hAnsi="Times New Roman" w:cs="Times New Roman"/>
          <w:b/>
          <w:bCs/>
          <w:sz w:val="24"/>
          <w:szCs w:val="24"/>
        </w:rPr>
      </w:pPr>
    </w:p>
    <w:p w:rsidR="000D1A4E" w:rsidRDefault="000D1A4E">
      <w:pPr>
        <w:rPr>
          <w:rFonts w:ascii="Times New Roman" w:hAnsi="Times New Roman" w:cs="Times New Roman"/>
          <w:sz w:val="24"/>
          <w:szCs w:val="24"/>
        </w:rPr>
      </w:pPr>
    </w:p>
    <w:p w:rsidR="008F1AEC" w:rsidRDefault="008F1AEC">
      <w:pPr>
        <w:rPr>
          <w:rFonts w:ascii="Times New Roman" w:hAnsi="Times New Roman" w:cs="Times New Roman"/>
          <w:sz w:val="24"/>
          <w:szCs w:val="24"/>
        </w:rPr>
      </w:pPr>
    </w:p>
    <w:p w:rsidR="00F804AC" w:rsidRDefault="00F804AC" w:rsidP="00F804AC">
      <w:r>
        <w:t>Name of PIC of Service station:</w:t>
      </w:r>
      <w:r>
        <w:tab/>
      </w:r>
      <w:r>
        <w:tab/>
      </w:r>
      <w:r>
        <w:tab/>
      </w:r>
      <w:r>
        <w:tab/>
        <w:t>Name of MMD/DGS Surveyor:</w:t>
      </w:r>
    </w:p>
    <w:p w:rsidR="00F804AC" w:rsidRDefault="00F804AC" w:rsidP="00F804AC"/>
    <w:p w:rsidR="00F804AC" w:rsidRDefault="00F804AC" w:rsidP="00F804AC">
      <w:r>
        <w:t xml:space="preserve">Signature </w:t>
      </w:r>
      <w:r>
        <w:tab/>
        <w:t>:</w:t>
      </w:r>
      <w:r>
        <w:tab/>
      </w:r>
      <w:r>
        <w:tab/>
      </w:r>
      <w:r>
        <w:tab/>
      </w:r>
      <w:r>
        <w:tab/>
      </w:r>
      <w:r>
        <w:tab/>
        <w:t>Signature</w:t>
      </w:r>
      <w:r>
        <w:tab/>
        <w:t>:</w:t>
      </w:r>
    </w:p>
    <w:p w:rsidR="00F804AC" w:rsidRDefault="00F804AC" w:rsidP="00F804AC"/>
    <w:p w:rsidR="00F804AC" w:rsidRDefault="00F804AC" w:rsidP="00F804AC">
      <w:r>
        <w:t>Date</w:t>
      </w:r>
      <w:r>
        <w:tab/>
      </w:r>
      <w:r>
        <w:tab/>
        <w:t>:</w:t>
      </w:r>
      <w:r>
        <w:tab/>
      </w:r>
      <w:r>
        <w:tab/>
      </w:r>
      <w:r>
        <w:tab/>
      </w:r>
      <w:r>
        <w:tab/>
      </w:r>
      <w:r>
        <w:tab/>
        <w:t>Date</w:t>
      </w:r>
      <w:r>
        <w:tab/>
      </w:r>
      <w:r>
        <w:tab/>
        <w:t>:</w:t>
      </w:r>
    </w:p>
    <w:p w:rsidR="008F1AEC" w:rsidRPr="000D1A4E" w:rsidRDefault="008F1AE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F1AEC" w:rsidRPr="000D1A4E" w:rsidSect="005C3A17">
      <w:footerReference w:type="default" r:id="rId7"/>
      <w:pgSz w:w="12240" w:h="15840"/>
      <w:pgMar w:top="72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8FE" w:rsidRDefault="00C038FE" w:rsidP="00300A69">
      <w:pPr>
        <w:spacing w:after="0" w:line="240" w:lineRule="auto"/>
      </w:pPr>
      <w:r>
        <w:separator/>
      </w:r>
    </w:p>
  </w:endnote>
  <w:endnote w:type="continuationSeparator" w:id="0">
    <w:p w:rsidR="00C038FE" w:rsidRDefault="00C038FE" w:rsidP="0030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A69" w:rsidRDefault="00300A69">
    <w:pPr>
      <w:pStyle w:val="Footer"/>
    </w:pPr>
    <w:r>
      <w:t>Form-II  DGS/NT/Radio Firm</w:t>
    </w:r>
    <w:r>
      <w:ptab w:relativeTo="margin" w:alignment="center" w:leader="none"/>
    </w:r>
    <w:r>
      <w:t>Inspection of SBMP-1039</w:t>
    </w:r>
    <w:r>
      <w:ptab w:relativeTo="margin" w:alignment="right" w:leader="none"/>
    </w:r>
    <w:r>
      <w:t>Rev.1/2023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8FE" w:rsidRDefault="00C038FE" w:rsidP="00300A69">
      <w:pPr>
        <w:spacing w:after="0" w:line="240" w:lineRule="auto"/>
      </w:pPr>
      <w:r>
        <w:separator/>
      </w:r>
    </w:p>
  </w:footnote>
  <w:footnote w:type="continuationSeparator" w:id="0">
    <w:p w:rsidR="00C038FE" w:rsidRDefault="00C038FE" w:rsidP="00300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1B06"/>
    <w:multiLevelType w:val="hybridMultilevel"/>
    <w:tmpl w:val="632883F0"/>
    <w:lvl w:ilvl="0" w:tplc="FAD216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270F"/>
    <w:multiLevelType w:val="hybridMultilevel"/>
    <w:tmpl w:val="D0FAA5EE"/>
    <w:lvl w:ilvl="0" w:tplc="467449C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4E"/>
    <w:rsid w:val="000B4D93"/>
    <w:rsid w:val="000D1A4E"/>
    <w:rsid w:val="00105F88"/>
    <w:rsid w:val="00300A69"/>
    <w:rsid w:val="0032538D"/>
    <w:rsid w:val="004D4068"/>
    <w:rsid w:val="00592E69"/>
    <w:rsid w:val="005C3A17"/>
    <w:rsid w:val="00643466"/>
    <w:rsid w:val="00662810"/>
    <w:rsid w:val="008F1AEC"/>
    <w:rsid w:val="00C038FE"/>
    <w:rsid w:val="00EA6266"/>
    <w:rsid w:val="00F804AC"/>
    <w:rsid w:val="00F95800"/>
    <w:rsid w:val="00FC45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4EC7"/>
  <w15:docId w15:val="{EA15CE29-9BA1-470C-A568-75CF2B1B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A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1A4E"/>
    <w:pPr>
      <w:ind w:left="720"/>
      <w:contextualSpacing/>
    </w:pPr>
  </w:style>
  <w:style w:type="paragraph" w:styleId="Header">
    <w:name w:val="header"/>
    <w:basedOn w:val="Normal"/>
    <w:link w:val="HeaderChar"/>
    <w:uiPriority w:val="99"/>
    <w:unhideWhenUsed/>
    <w:rsid w:val="00300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A69"/>
  </w:style>
  <w:style w:type="paragraph" w:styleId="Footer">
    <w:name w:val="footer"/>
    <w:basedOn w:val="Normal"/>
    <w:link w:val="FooterChar"/>
    <w:uiPriority w:val="99"/>
    <w:unhideWhenUsed/>
    <w:rsid w:val="00300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NT</cp:lastModifiedBy>
  <cp:revision>7</cp:revision>
  <dcterms:created xsi:type="dcterms:W3CDTF">2023-03-13T11:40:00Z</dcterms:created>
  <dcterms:modified xsi:type="dcterms:W3CDTF">2023-03-30T09:27:00Z</dcterms:modified>
</cp:coreProperties>
</file>